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566F" w14:textId="27EAF6F1" w:rsidR="5E4330A1" w:rsidRDefault="5E4330A1" w:rsidP="1A1C045C">
      <w:pPr>
        <w:spacing w:after="0" w:line="240" w:lineRule="auto"/>
        <w:jc w:val="right"/>
        <w:rPr>
          <w:rFonts w:ascii="Times New Roman" w:eastAsia="Times New Roman" w:hAnsi="Times New Roman" w:cs="Times New Roman"/>
          <w:sz w:val="20"/>
          <w:szCs w:val="20"/>
        </w:rPr>
      </w:pPr>
      <w:r w:rsidRPr="1A1C045C">
        <w:rPr>
          <w:rFonts w:ascii="Times New Roman" w:eastAsia="Times New Roman" w:hAnsi="Times New Roman" w:cs="Times New Roman"/>
          <w:color w:val="000000" w:themeColor="text1"/>
        </w:rPr>
        <w:t>Tervishoiuteenuste korraldamise seaduse muutmise seaduse eelnõu seletuskiri</w:t>
      </w:r>
    </w:p>
    <w:p w14:paraId="43F00342" w14:textId="18BB5AAC" w:rsidR="54A1D641" w:rsidRDefault="54D02FA5" w:rsidP="005C7A6D">
      <w:pPr>
        <w:spacing w:after="0" w:line="240" w:lineRule="auto"/>
        <w:jc w:val="right"/>
      </w:pPr>
      <w:r w:rsidRPr="1A1C045C">
        <w:rPr>
          <w:rFonts w:ascii="Times New Roman" w:eastAsia="Times New Roman" w:hAnsi="Times New Roman" w:cs="Times New Roman"/>
          <w:sz w:val="20"/>
          <w:szCs w:val="20"/>
        </w:rPr>
        <w:t>Lisa</w:t>
      </w:r>
      <w:r w:rsidR="0BA0266E" w:rsidRPr="1A1C045C">
        <w:rPr>
          <w:rFonts w:ascii="Times New Roman" w:eastAsia="Times New Roman" w:hAnsi="Times New Roman" w:cs="Times New Roman"/>
          <w:sz w:val="20"/>
          <w:szCs w:val="20"/>
        </w:rPr>
        <w:t xml:space="preserve"> 1</w:t>
      </w:r>
      <w:r w:rsidR="0BA0266E">
        <w:t xml:space="preserve"> </w:t>
      </w:r>
    </w:p>
    <w:p w14:paraId="11A3B554" w14:textId="43D1BF8F" w:rsidR="34E2539C" w:rsidRDefault="34E2539C" w:rsidP="005C7A6D">
      <w:pPr>
        <w:spacing w:after="0" w:line="240" w:lineRule="auto"/>
      </w:pPr>
    </w:p>
    <w:p w14:paraId="7DBAA398" w14:textId="21301745" w:rsidR="34E2539C" w:rsidRDefault="34E2539C" w:rsidP="005C7A6D">
      <w:pPr>
        <w:spacing w:after="0" w:line="240" w:lineRule="auto"/>
      </w:pPr>
    </w:p>
    <w:p w14:paraId="5FB6343D" w14:textId="1254BA34" w:rsidR="00BB23BA" w:rsidRPr="00E84545" w:rsidRDefault="00BB23BA" w:rsidP="00BB23BA">
      <w:pPr>
        <w:spacing w:after="0" w:line="240" w:lineRule="auto"/>
        <w:jc w:val="center"/>
        <w:rPr>
          <w:rFonts w:ascii="Times New Roman" w:hAnsi="Times New Roman" w:cs="Times New Roman"/>
          <w:b/>
          <w:bCs/>
        </w:rPr>
      </w:pPr>
      <w:r w:rsidRPr="00E84545">
        <w:rPr>
          <w:rFonts w:ascii="Times New Roman" w:hAnsi="Times New Roman" w:cs="Times New Roman"/>
          <w:b/>
          <w:bCs/>
        </w:rPr>
        <w:t>Tervishoiuteenuste korraldamise seaduse (esmatasandi tervishoiu tugevdamine) eelnõu väljatöötamiskavatsuse tagasiside</w:t>
      </w:r>
    </w:p>
    <w:p w14:paraId="0F875076" w14:textId="01074419" w:rsidR="0008531E" w:rsidRPr="00E84545" w:rsidRDefault="0008531E" w:rsidP="34E2539C">
      <w:pPr>
        <w:spacing w:after="0" w:line="240" w:lineRule="auto"/>
        <w:jc w:val="center"/>
        <w:rPr>
          <w:rFonts w:ascii="Times New Roman" w:hAnsi="Times New Roman" w:cs="Times New Roman"/>
        </w:rPr>
      </w:pPr>
    </w:p>
    <w:tbl>
      <w:tblPr>
        <w:tblStyle w:val="Kontuurtabel"/>
        <w:tblW w:w="13994" w:type="dxa"/>
        <w:tblLook w:val="04A0" w:firstRow="1" w:lastRow="0" w:firstColumn="1" w:lastColumn="0" w:noHBand="0" w:noVBand="1"/>
      </w:tblPr>
      <w:tblGrid>
        <w:gridCol w:w="8075"/>
        <w:gridCol w:w="5919"/>
      </w:tblGrid>
      <w:tr w:rsidR="001D3E9C" w:rsidRPr="00E84545" w14:paraId="798C1412" w14:textId="77777777" w:rsidTr="32D382CF">
        <w:tc>
          <w:tcPr>
            <w:tcW w:w="13994" w:type="dxa"/>
            <w:gridSpan w:val="2"/>
          </w:tcPr>
          <w:p w14:paraId="7E756AB8" w14:textId="22B7B3BC" w:rsidR="001D3E9C" w:rsidRPr="00E84545" w:rsidRDefault="001D3E9C" w:rsidP="00BB23BA">
            <w:pPr>
              <w:jc w:val="center"/>
              <w:rPr>
                <w:rFonts w:ascii="Times New Roman" w:hAnsi="Times New Roman" w:cs="Times New Roman"/>
                <w:b/>
                <w:bCs/>
              </w:rPr>
            </w:pPr>
            <w:r w:rsidRPr="00E84545">
              <w:rPr>
                <w:rFonts w:ascii="Times New Roman" w:hAnsi="Times New Roman" w:cs="Times New Roman"/>
                <w:b/>
                <w:bCs/>
              </w:rPr>
              <w:t>Eesti Perearstide Selts</w:t>
            </w:r>
          </w:p>
        </w:tc>
      </w:tr>
      <w:tr w:rsidR="0008531E" w:rsidRPr="00E84545" w14:paraId="3424E1FB" w14:textId="77777777" w:rsidTr="32D382CF">
        <w:tc>
          <w:tcPr>
            <w:tcW w:w="8075" w:type="dxa"/>
          </w:tcPr>
          <w:p w14:paraId="0E2ACBA5" w14:textId="50F7327C" w:rsidR="0008531E" w:rsidRPr="00E84545" w:rsidRDefault="0008531E" w:rsidP="006B7090">
            <w:pPr>
              <w:jc w:val="center"/>
              <w:rPr>
                <w:rFonts w:ascii="Times New Roman" w:hAnsi="Times New Roman" w:cs="Times New Roman"/>
                <w:b/>
                <w:bCs/>
              </w:rPr>
            </w:pPr>
            <w:r w:rsidRPr="00E84545">
              <w:rPr>
                <w:rFonts w:ascii="Times New Roman" w:hAnsi="Times New Roman" w:cs="Times New Roman"/>
                <w:b/>
                <w:bCs/>
              </w:rPr>
              <w:t>Märkused/ettepanekud</w:t>
            </w:r>
          </w:p>
        </w:tc>
        <w:tc>
          <w:tcPr>
            <w:tcW w:w="5919" w:type="dxa"/>
          </w:tcPr>
          <w:p w14:paraId="1AD33855" w14:textId="066ADF1A" w:rsidR="0008531E" w:rsidRPr="00E84545" w:rsidRDefault="0008531E" w:rsidP="00BB23BA">
            <w:pPr>
              <w:jc w:val="center"/>
              <w:rPr>
                <w:rFonts w:ascii="Times New Roman" w:hAnsi="Times New Roman" w:cs="Times New Roman"/>
                <w:b/>
                <w:bCs/>
              </w:rPr>
            </w:pPr>
            <w:r w:rsidRPr="00E84545">
              <w:rPr>
                <w:rFonts w:ascii="Times New Roman" w:hAnsi="Times New Roman" w:cs="Times New Roman"/>
                <w:b/>
                <w:bCs/>
              </w:rPr>
              <w:t>Seisukoht/Selgitus</w:t>
            </w:r>
          </w:p>
        </w:tc>
      </w:tr>
      <w:tr w:rsidR="0008531E" w:rsidRPr="00E84545" w14:paraId="666062B9" w14:textId="77777777" w:rsidTr="32D382CF">
        <w:tc>
          <w:tcPr>
            <w:tcW w:w="8075" w:type="dxa"/>
          </w:tcPr>
          <w:p w14:paraId="0F0DCD79" w14:textId="399DC4CE" w:rsidR="0008531E" w:rsidRPr="00E84545" w:rsidRDefault="05EFBC75" w:rsidP="75134C9B">
            <w:pPr>
              <w:rPr>
                <w:rFonts w:ascii="Times New Roman" w:hAnsi="Times New Roman" w:cs="Times New Roman"/>
              </w:rPr>
            </w:pPr>
            <w:r w:rsidRPr="00E84545">
              <w:rPr>
                <w:rFonts w:ascii="Times New Roman" w:eastAsia="Aptos" w:hAnsi="Times New Roman" w:cs="Times New Roman"/>
              </w:rPr>
              <w:t xml:space="preserve">Täiendavalt teeme ettepaneku, et: </w:t>
            </w:r>
          </w:p>
          <w:p w14:paraId="06679D3E" w14:textId="29195C78" w:rsidR="0008531E" w:rsidRPr="00E84545" w:rsidRDefault="05EFBC75" w:rsidP="75134C9B">
            <w:pPr>
              <w:rPr>
                <w:rFonts w:ascii="Times New Roman" w:hAnsi="Times New Roman" w:cs="Times New Roman"/>
              </w:rPr>
            </w:pPr>
            <w:r w:rsidRPr="00E84545">
              <w:rPr>
                <w:rFonts w:ascii="Times New Roman" w:eastAsia="Aptos" w:hAnsi="Times New Roman" w:cs="Times New Roman"/>
              </w:rPr>
              <w:t xml:space="preserve"> - keeldumise õigus peaks olema absoluutne ning laienema kõigile nimistuga perearstidele; </w:t>
            </w:r>
          </w:p>
          <w:p w14:paraId="1B0AA4F2" w14:textId="04C74023" w:rsidR="0008531E" w:rsidRPr="00E84545" w:rsidRDefault="0008531E" w:rsidP="7BE42B79">
            <w:pPr>
              <w:rPr>
                <w:rFonts w:ascii="Times New Roman" w:eastAsia="Aptos" w:hAnsi="Times New Roman" w:cs="Times New Roman"/>
              </w:rPr>
            </w:pPr>
          </w:p>
          <w:p w14:paraId="05FE3081" w14:textId="3EDCA303" w:rsidR="0008531E" w:rsidRPr="00E84545" w:rsidRDefault="05EFBC75" w:rsidP="75134C9B">
            <w:pPr>
              <w:rPr>
                <w:rFonts w:ascii="Times New Roman" w:hAnsi="Times New Roman" w:cs="Times New Roman"/>
              </w:rPr>
            </w:pPr>
            <w:r w:rsidRPr="00E84545">
              <w:rPr>
                <w:rFonts w:ascii="Times New Roman" w:eastAsia="Aptos" w:hAnsi="Times New Roman" w:cs="Times New Roman"/>
              </w:rPr>
              <w:t xml:space="preserve">Võimalus kokkulepitud piiride raames nimistu suuruse kaudu oma töökoormust reguleerida aitab olulisel määral kaasa perearstiabi kvaliteedi hoidmisele ning eriala jätkusuutlikkusele. Kohustus võtta nimistusse rohkem patsiente kui perearst kvaliteetselt teeninda suudab, toob paratamatult kaasa kas kvaliteedi ja kättesaadavuse languse või sellises mahus lisapersonali kaasamise, et väheneb patsientide võimalus pääseda oma perearsti vastuvõtule. Halvematel juhtudel viib see perearsti läbipõlemise ja / või tööst loobumiseni. Töökoormuse reguleerimise võimalus seevastu julgustab noori arste nimistut võtma ning aitab eriala populaarsemaks muuta, parandades kuvandit, et nimistu võtnud arsti töökoormus on väga suur. Tasakaalu aitavad hoida õigusaktis fikseeritav optimaalse suuruse piirsuurus (1600 isikut), millest väiksema isikute arvu korral keeldumise õigus puuduks, ning otseselt isikute arvust sõltuv rahastus. </w:t>
            </w:r>
          </w:p>
        </w:tc>
        <w:tc>
          <w:tcPr>
            <w:tcW w:w="5919" w:type="dxa"/>
          </w:tcPr>
          <w:p w14:paraId="623051AF" w14:textId="02E8E251" w:rsidR="0008531E" w:rsidRPr="00E84545" w:rsidRDefault="00B302EF" w:rsidP="573BE272">
            <w:pPr>
              <w:rPr>
                <w:rFonts w:ascii="Times New Roman" w:hAnsi="Times New Roman" w:cs="Times New Roman"/>
                <w:color w:val="000000" w:themeColor="text1"/>
              </w:rPr>
            </w:pPr>
            <w:r>
              <w:rPr>
                <w:rFonts w:ascii="Times New Roman" w:hAnsi="Times New Roman" w:cs="Times New Roman"/>
                <w:color w:val="000000" w:themeColor="text1"/>
              </w:rPr>
              <w:t>TTKS-i</w:t>
            </w:r>
            <w:r w:rsidR="142C1E19" w:rsidRPr="573BE272">
              <w:rPr>
                <w:rFonts w:ascii="Times New Roman" w:hAnsi="Times New Roman" w:cs="Times New Roman"/>
                <w:color w:val="000000" w:themeColor="text1"/>
              </w:rPr>
              <w:t xml:space="preserve"> täiendatakse järgmise sättega (§8 lg </w:t>
            </w:r>
            <w:r w:rsidR="142C1E19" w:rsidRPr="573BE272">
              <w:rPr>
                <w:rFonts w:ascii="Times New Roman" w:eastAsia="Times New Roman" w:hAnsi="Times New Roman" w:cs="Times New Roman"/>
              </w:rPr>
              <w:t>3</w:t>
            </w:r>
            <w:r w:rsidR="142C1E19" w:rsidRPr="573BE272">
              <w:rPr>
                <w:rFonts w:ascii="Times New Roman" w:eastAsia="Times New Roman" w:hAnsi="Times New Roman" w:cs="Times New Roman"/>
                <w:vertAlign w:val="superscript"/>
              </w:rPr>
              <w:t>3</w:t>
            </w:r>
            <w:r w:rsidR="142C1E19" w:rsidRPr="573BE272">
              <w:rPr>
                <w:rFonts w:ascii="Times New Roman" w:eastAsia="Times New Roman" w:hAnsi="Times New Roman" w:cs="Times New Roman"/>
              </w:rPr>
              <w:t>)</w:t>
            </w:r>
            <w:r w:rsidR="142C1E19" w:rsidRPr="573BE272">
              <w:rPr>
                <w:rFonts w:ascii="Times New Roman" w:hAnsi="Times New Roman" w:cs="Times New Roman"/>
                <w:color w:val="000000" w:themeColor="text1"/>
              </w:rPr>
              <w:t xml:space="preserve">: </w:t>
            </w:r>
          </w:p>
          <w:p w14:paraId="67133F0C" w14:textId="38105CD1" w:rsidR="0008531E" w:rsidRPr="00E84545" w:rsidRDefault="142C1E19" w:rsidP="573BE272">
            <w:pPr>
              <w:rPr>
                <w:rFonts w:ascii="Times New Roman" w:eastAsia="Times New Roman" w:hAnsi="Times New Roman" w:cs="Times New Roman"/>
                <w:i/>
                <w:iCs/>
                <w:color w:val="000000" w:themeColor="text1"/>
              </w:rPr>
            </w:pPr>
            <w:r w:rsidRPr="573BE272">
              <w:rPr>
                <w:rFonts w:ascii="Times New Roman" w:eastAsia="Times New Roman" w:hAnsi="Times New Roman" w:cs="Times New Roman"/>
                <w:i/>
                <w:iCs/>
              </w:rPr>
              <w:t>“Perearst võib keelduda patsiendi registreerimisest nimistusse juhul, kui nimistu suurus ületab 1600 isikut ning patsiendil on samas teeninduspiirkonnas võimalik registreeruda teise perearsti nimistusse, mille suurus ei ületa 1600 isikut. Keeldumise korral annab perearst patsiendile teavet teiste samas teeninduspiirkonnas tegutsevate perearstide nimistute kohta, kuhu patsiendil on võimalik registreeruda</w:t>
            </w:r>
            <w:r w:rsidRPr="573BE272">
              <w:rPr>
                <w:rFonts w:ascii="Times New Roman" w:eastAsia="Times New Roman" w:hAnsi="Times New Roman" w:cs="Times New Roman"/>
                <w:i/>
                <w:iCs/>
                <w:color w:val="000000" w:themeColor="text1"/>
              </w:rPr>
              <w:t>.”</w:t>
            </w:r>
          </w:p>
          <w:p w14:paraId="02D9448E" w14:textId="0B529D6F" w:rsidR="0008531E" w:rsidRPr="00E84545" w:rsidRDefault="0008531E" w:rsidP="573BE272">
            <w:pPr>
              <w:rPr>
                <w:rFonts w:ascii="Times New Roman" w:eastAsia="Times New Roman" w:hAnsi="Times New Roman" w:cs="Times New Roman"/>
                <w:color w:val="000000" w:themeColor="text1"/>
              </w:rPr>
            </w:pPr>
          </w:p>
          <w:p w14:paraId="200F52CF" w14:textId="78173F06" w:rsidR="0008531E" w:rsidRPr="00E84545" w:rsidRDefault="103F3869" w:rsidP="573BE272">
            <w:pPr>
              <w:rPr>
                <w:rFonts w:ascii="Times New Roman" w:eastAsia="Times New Roman" w:hAnsi="Times New Roman" w:cs="Times New Roman"/>
                <w:vertAlign w:val="superscript"/>
              </w:rPr>
            </w:pPr>
            <w:r w:rsidRPr="573BE272">
              <w:rPr>
                <w:rFonts w:ascii="Times New Roman" w:eastAsia="Times New Roman" w:hAnsi="Times New Roman" w:cs="Times New Roman"/>
                <w:color w:val="000000" w:themeColor="text1"/>
              </w:rPr>
              <w:t>Lisaks reguleeritakse Tervisekassa poolt isiku määramist nimistusse, arvestades nimistu suurust 1</w:t>
            </w:r>
            <w:r w:rsidR="19FDFF85" w:rsidRPr="573BE272">
              <w:rPr>
                <w:rFonts w:ascii="Times New Roman" w:eastAsia="Times New Roman" w:hAnsi="Times New Roman" w:cs="Times New Roman"/>
                <w:color w:val="000000" w:themeColor="text1"/>
              </w:rPr>
              <w:t>600 (§8</w:t>
            </w:r>
            <w:r w:rsidR="19FDFF85" w:rsidRPr="573BE272">
              <w:rPr>
                <w:rFonts w:ascii="Times New Roman" w:eastAsia="Times New Roman" w:hAnsi="Times New Roman" w:cs="Times New Roman"/>
              </w:rPr>
              <w:t xml:space="preserve"> lg 4</w:t>
            </w:r>
            <w:r w:rsidR="19FDFF85" w:rsidRPr="573BE272">
              <w:rPr>
                <w:rFonts w:ascii="Times New Roman" w:eastAsia="Times New Roman" w:hAnsi="Times New Roman" w:cs="Times New Roman"/>
                <w:vertAlign w:val="superscript"/>
              </w:rPr>
              <w:t>3</w:t>
            </w:r>
            <w:r w:rsidR="19FDFF85" w:rsidRPr="573BE272">
              <w:rPr>
                <w:rFonts w:ascii="Times New Roman" w:eastAsia="Times New Roman" w:hAnsi="Times New Roman" w:cs="Times New Roman"/>
              </w:rPr>
              <w:t>):</w:t>
            </w:r>
          </w:p>
          <w:p w14:paraId="5563386B" w14:textId="2EFEF5AA" w:rsidR="0008531E" w:rsidRPr="00E84545" w:rsidRDefault="19FDFF85" w:rsidP="573BE272">
            <w:pPr>
              <w:rPr>
                <w:rFonts w:ascii="Times New Roman" w:eastAsia="Times New Roman" w:hAnsi="Times New Roman" w:cs="Times New Roman"/>
                <w:i/>
                <w:iCs/>
              </w:rPr>
            </w:pPr>
            <w:r w:rsidRPr="573BE272">
              <w:rPr>
                <w:rFonts w:ascii="Times New Roman" w:eastAsia="Times New Roman" w:hAnsi="Times New Roman" w:cs="Times New Roman"/>
                <w:i/>
                <w:iCs/>
                <w:color w:val="000000" w:themeColor="text1"/>
              </w:rPr>
              <w:t>“Tervisekassa määrab perearsti nimistusse mitteregistreerunud isiku tema kirjaliku avalduse alusel nimistusse lähtudes nimistu suurusest kuni 1600 isikut ning teeb muudatuse isikule ja perearstile teatavaks kirjalikult või elektrooniliselt seitsme tööpäeva jooksul otsuse tegemisest arvates.</w:t>
            </w:r>
            <w:r w:rsidRPr="573BE272">
              <w:rPr>
                <w:rFonts w:ascii="Times New Roman" w:eastAsia="Times New Roman" w:hAnsi="Times New Roman" w:cs="Times New Roman"/>
                <w:i/>
                <w:iCs/>
              </w:rPr>
              <w:t>“</w:t>
            </w:r>
          </w:p>
          <w:p w14:paraId="039781EF" w14:textId="6E807D48" w:rsidR="006646FE" w:rsidRPr="00E84545" w:rsidRDefault="006646FE" w:rsidP="00996F69">
            <w:pPr>
              <w:rPr>
                <w:rFonts w:ascii="Times New Roman" w:eastAsia="Times New Roman" w:hAnsi="Times New Roman" w:cs="Times New Roman"/>
              </w:rPr>
            </w:pPr>
          </w:p>
        </w:tc>
      </w:tr>
      <w:tr w:rsidR="0008531E" w:rsidRPr="00E84545" w14:paraId="2F343DF5" w14:textId="77777777" w:rsidTr="32D382CF">
        <w:tc>
          <w:tcPr>
            <w:tcW w:w="8075" w:type="dxa"/>
          </w:tcPr>
          <w:p w14:paraId="1AB83631" w14:textId="0ADDB386" w:rsidR="0008531E" w:rsidRPr="00E84545" w:rsidRDefault="05EFBC75" w:rsidP="30A5A82C">
            <w:pPr>
              <w:rPr>
                <w:rFonts w:ascii="Times New Roman" w:hAnsi="Times New Roman" w:cs="Times New Roman"/>
              </w:rPr>
            </w:pPr>
            <w:r w:rsidRPr="00E84545">
              <w:rPr>
                <w:rFonts w:ascii="Times New Roman" w:eastAsia="Aptos" w:hAnsi="Times New Roman" w:cs="Times New Roman"/>
              </w:rPr>
              <w:t xml:space="preserve">Arvestades aga, et teatud piirkondades ei ole lähiajal ning kohati juba ka täna võimalik igale nimistule perearsti kinnitada, samas me teame kui suur lisandväärtus on “oma” kodulähedane perearst, siis teeme ettepaneku luua </w:t>
            </w:r>
            <w:r w:rsidRPr="00B302EF">
              <w:rPr>
                <w:rFonts w:ascii="Times New Roman" w:eastAsia="Aptos" w:hAnsi="Times New Roman" w:cs="Times New Roman"/>
              </w:rPr>
              <w:t>perearstiabi strateegiline plaan,</w:t>
            </w:r>
            <w:r w:rsidRPr="00E84545">
              <w:rPr>
                <w:rFonts w:ascii="Times New Roman" w:eastAsia="Aptos" w:hAnsi="Times New Roman" w:cs="Times New Roman"/>
              </w:rPr>
              <w:t xml:space="preserve"> mille alusel oleks võimalik sellised piirkonnad kuulutada perearstiabi kriisipiirkondadeks ning näha seal ette täiendava </w:t>
            </w:r>
            <w:r w:rsidRPr="00E84545">
              <w:rPr>
                <w:rFonts w:ascii="Times New Roman" w:eastAsia="Aptos" w:hAnsi="Times New Roman" w:cs="Times New Roman"/>
              </w:rPr>
              <w:lastRenderedPageBreak/>
              <w:t>motiveerimise võimalusi ning, muude võimaluste puudumisel, ka teatud erandeid. Näiteks saaks sellistes piirkondades rakendada tähtajalist rahastuse lisakoefitsienti nii nimistu võtmisel, asendamisel kui ka sellises piirkonnas nimistuga töötamisel (need koefitsiendid peaksid olema erinevad). Isegi, kui lõpptulemuseks on, et kriisipiirkonna lisarahastuse koefitsient tasakaalustab või kaalub üles “oma” perearsti puudumisega seotud negatiivse koefitsiendi, on selline lahendus nii perearstide kui patsientide jaoks läbipaistvam ja õiglasem.</w:t>
            </w:r>
          </w:p>
        </w:tc>
        <w:tc>
          <w:tcPr>
            <w:tcW w:w="5919" w:type="dxa"/>
          </w:tcPr>
          <w:p w14:paraId="0D0CF1DB" w14:textId="59FFE39A" w:rsidR="0008531E" w:rsidRPr="00E84545" w:rsidRDefault="55A709BD" w:rsidP="32D382CF">
            <w:pPr>
              <w:jc w:val="both"/>
              <w:rPr>
                <w:rFonts w:ascii="Times New Roman" w:eastAsia="Times New Roman" w:hAnsi="Times New Roman" w:cs="Times New Roman"/>
              </w:rPr>
            </w:pPr>
            <w:r w:rsidRPr="32D382CF">
              <w:rPr>
                <w:rFonts w:ascii="Times New Roman" w:eastAsia="Times New Roman" w:hAnsi="Times New Roman" w:cs="Times New Roman"/>
                <w:color w:val="000000" w:themeColor="text1"/>
              </w:rPr>
              <w:lastRenderedPageBreak/>
              <w:t>Vajalik luua õiguslik alus riski- ja kriisipiirkondade määramiseks ning piirkondlike meetmete rakendamiseks, mis võimaldavad reageerida piirkondlikele probleemidele paindlikumalt ja toetada perearstiabi jätkusuutlikkust.</w:t>
            </w:r>
            <w:r w:rsidRPr="32D382CF">
              <w:rPr>
                <w:rFonts w:ascii="Times New Roman" w:eastAsia="Arial" w:hAnsi="Times New Roman" w:cs="Times New Roman"/>
              </w:rPr>
              <w:t xml:space="preserve"> </w:t>
            </w:r>
          </w:p>
          <w:p w14:paraId="7D950AAA" w14:textId="62DF4FE3" w:rsidR="0008531E" w:rsidRPr="00E84545" w:rsidRDefault="0ED1D0A9" w:rsidP="573BE272">
            <w:pPr>
              <w:rPr>
                <w:rFonts w:ascii="Times New Roman" w:eastAsia="Arial" w:hAnsi="Times New Roman" w:cs="Times New Roman"/>
              </w:rPr>
            </w:pPr>
            <w:r w:rsidRPr="32D382CF">
              <w:rPr>
                <w:rFonts w:ascii="Times New Roman" w:eastAsia="Arial" w:hAnsi="Times New Roman" w:cs="Times New Roman"/>
              </w:rPr>
              <w:t xml:space="preserve">TTKS </w:t>
            </w:r>
            <w:r w:rsidR="231749A2" w:rsidRPr="32D382CF">
              <w:rPr>
                <w:rFonts w:ascii="Times New Roman" w:eastAsia="Arial" w:hAnsi="Times New Roman" w:cs="Times New Roman"/>
              </w:rPr>
              <w:t xml:space="preserve">§ 11 täiendatakse uue lõikega </w:t>
            </w:r>
            <w:r w:rsidR="78D7A794" w:rsidRPr="32D382CF">
              <w:rPr>
                <w:rFonts w:ascii="Times New Roman" w:eastAsia="Arial" w:hAnsi="Times New Roman" w:cs="Times New Roman"/>
              </w:rPr>
              <w:t>1</w:t>
            </w:r>
            <w:r w:rsidR="78D7A794" w:rsidRPr="32D382CF">
              <w:rPr>
                <w:rFonts w:ascii="Times New Roman" w:eastAsia="Arial" w:hAnsi="Times New Roman" w:cs="Times New Roman"/>
                <w:vertAlign w:val="superscript"/>
              </w:rPr>
              <w:t>2</w:t>
            </w:r>
            <w:r w:rsidR="231749A2" w:rsidRPr="32D382CF">
              <w:rPr>
                <w:rFonts w:ascii="Times New Roman" w:eastAsia="Arial" w:hAnsi="Times New Roman" w:cs="Times New Roman"/>
              </w:rPr>
              <w:t>:</w:t>
            </w:r>
          </w:p>
          <w:p w14:paraId="2803A741" w14:textId="1D2B15B1" w:rsidR="00696E3A" w:rsidRPr="00696E3A" w:rsidRDefault="00843F53" w:rsidP="573BE272">
            <w:pPr>
              <w:rPr>
                <w:rFonts w:ascii="Times New Roman" w:eastAsia="Times New Roman" w:hAnsi="Times New Roman" w:cs="Times New Roman"/>
              </w:rPr>
            </w:pPr>
            <w:r>
              <w:rPr>
                <w:rFonts w:ascii="Times New Roman" w:eastAsia="Times New Roman" w:hAnsi="Times New Roman" w:cs="Times New Roman"/>
                <w:i/>
                <w:iCs/>
                <w:color w:val="000000" w:themeColor="text1"/>
              </w:rPr>
              <w:lastRenderedPageBreak/>
              <w:t>„</w:t>
            </w:r>
            <w:r w:rsidRPr="00843F53">
              <w:rPr>
                <w:rFonts w:ascii="Times New Roman" w:eastAsia="Times New Roman" w:hAnsi="Times New Roman" w:cs="Times New Roman"/>
                <w:i/>
                <w:iCs/>
                <w:color w:val="000000" w:themeColor="text1"/>
              </w:rPr>
              <w:t>Perearstiabi regionaalse kättesaadavuse, järjepidevuse ja jätkusuutlikkuse tagamiseks kehtestab valdkonna eest vastutav minister määrusega riski- ja kriisipiirkondade määramise alused ning regionaalselt rakendatavad meetmed ja nende rakendamise tingimused ja korra.“</w:t>
            </w:r>
          </w:p>
        </w:tc>
      </w:tr>
      <w:tr w:rsidR="0008531E" w:rsidRPr="00E84545" w14:paraId="05D65BB5" w14:textId="77777777" w:rsidTr="32D382CF">
        <w:tc>
          <w:tcPr>
            <w:tcW w:w="8075" w:type="dxa"/>
          </w:tcPr>
          <w:p w14:paraId="0239B593" w14:textId="06DBB0D5" w:rsidR="0008531E" w:rsidRPr="00E84545" w:rsidRDefault="2A03F736" w:rsidP="7BE42B79">
            <w:pPr>
              <w:rPr>
                <w:rFonts w:ascii="Times New Roman" w:hAnsi="Times New Roman" w:cs="Times New Roman"/>
              </w:rPr>
            </w:pPr>
            <w:r w:rsidRPr="2EED8530">
              <w:rPr>
                <w:rFonts w:ascii="Times New Roman" w:eastAsia="Aptos" w:hAnsi="Times New Roman" w:cs="Times New Roman"/>
              </w:rPr>
              <w:lastRenderedPageBreak/>
              <w:t xml:space="preserve"> TTKS §-is 57 sätestatud korras toimuva asendamise ajal ei tohi perearsti osakaal teenuse osutamisel langeda alla “20 tunnist enamuse” nõude. Kirjeldatud põhimõttest kõrvalekaldumine peaks olema võimalik üksnes erandjuhtudel ja strateegilise plaani alusel - rangelt ajutisena, teisiti rahastatuna ning kaaludes piirkonnas võimalikke alternatiive (nagu näiteks, kas piirkonna teised keskused on valmis teenindama perearstita nimistu patsiente FFS alusel või kas nad nõustuvad nimistu ajutise jagamisega piirkonna keskuste vahel (koos rahastusega, sh pea- ja baa</w:t>
            </w:r>
            <w:r w:rsidR="11A488E8" w:rsidRPr="2EED8530">
              <w:rPr>
                <w:rFonts w:ascii="Times New Roman" w:eastAsia="Aptos" w:hAnsi="Times New Roman" w:cs="Times New Roman"/>
              </w:rPr>
              <w:t>s</w:t>
            </w:r>
            <w:r w:rsidRPr="2EED8530">
              <w:rPr>
                <w:rFonts w:ascii="Times New Roman" w:eastAsia="Aptos" w:hAnsi="Times New Roman" w:cs="Times New Roman"/>
              </w:rPr>
              <w:t>rahade ning uuringufondiga)).</w:t>
            </w:r>
          </w:p>
        </w:tc>
        <w:tc>
          <w:tcPr>
            <w:tcW w:w="5919" w:type="dxa"/>
          </w:tcPr>
          <w:p w14:paraId="6A7C806D" w14:textId="1339DB33" w:rsidR="0008531E" w:rsidRDefault="66A3A9A6" w:rsidP="32D382CF">
            <w:pPr>
              <w:rPr>
                <w:rFonts w:ascii="Times New Roman" w:eastAsia="Times New Roman" w:hAnsi="Times New Roman" w:cs="Times New Roman"/>
                <w:i/>
                <w:iCs/>
                <w:color w:val="000000" w:themeColor="text1"/>
              </w:rPr>
            </w:pPr>
            <w:r w:rsidRPr="32D382CF">
              <w:rPr>
                <w:rFonts w:ascii="Times New Roman" w:hAnsi="Times New Roman" w:cs="Times New Roman"/>
              </w:rPr>
              <w:t xml:space="preserve">Arvestatud, </w:t>
            </w:r>
            <w:r w:rsidR="35CBFF88" w:rsidRPr="32D382CF">
              <w:rPr>
                <w:rFonts w:ascii="Times New Roman" w:hAnsi="Times New Roman" w:cs="Times New Roman"/>
              </w:rPr>
              <w:t>§</w:t>
            </w:r>
            <w:r w:rsidRPr="32D382CF">
              <w:rPr>
                <w:rFonts w:ascii="Times New Roman" w:hAnsi="Times New Roman" w:cs="Times New Roman"/>
              </w:rPr>
              <w:t xml:space="preserve"> </w:t>
            </w:r>
            <w:r w:rsidR="3ACCE37D" w:rsidRPr="32D382CF">
              <w:rPr>
                <w:rFonts w:ascii="Times New Roman" w:eastAsia="Aptos" w:hAnsi="Times New Roman" w:cs="Times New Roman"/>
              </w:rPr>
              <w:t>8 täiendatakse lõikega 6</w:t>
            </w:r>
            <w:r w:rsidR="3ACCE37D" w:rsidRPr="32D382CF">
              <w:rPr>
                <w:rFonts w:ascii="Times New Roman" w:eastAsia="Aptos" w:hAnsi="Times New Roman" w:cs="Times New Roman"/>
                <w:vertAlign w:val="superscript"/>
              </w:rPr>
              <w:t>2</w:t>
            </w:r>
            <w:r w:rsidR="006D7E58" w:rsidRPr="32D382CF">
              <w:rPr>
                <w:rFonts w:ascii="Times New Roman" w:eastAsia="Times New Roman" w:hAnsi="Times New Roman" w:cs="Times New Roman"/>
                <w:color w:val="000000" w:themeColor="text1"/>
              </w:rPr>
              <w:t xml:space="preserve"> </w:t>
            </w:r>
            <w:r w:rsidR="006D7E58" w:rsidRPr="32D382CF">
              <w:rPr>
                <w:rFonts w:ascii="Times New Roman" w:eastAsia="Times New Roman" w:hAnsi="Times New Roman" w:cs="Times New Roman"/>
                <w:i/>
                <w:iCs/>
                <w:color w:val="000000" w:themeColor="text1"/>
              </w:rPr>
              <w:t>„Kui perearstiabi osutatakse perearsti nimistu alusel äriühingu kaudu, peab perearstiabi osutaja järgima</w:t>
            </w:r>
            <w:r w:rsidR="00944713">
              <w:rPr>
                <w:rFonts w:ascii="Times New Roman" w:eastAsia="Times New Roman" w:hAnsi="Times New Roman" w:cs="Times New Roman"/>
                <w:i/>
                <w:iCs/>
                <w:color w:val="000000" w:themeColor="text1"/>
              </w:rPr>
              <w:t xml:space="preserve"> käesoleva seaduse</w:t>
            </w:r>
            <w:r w:rsidR="006D7E58" w:rsidRPr="32D382CF">
              <w:rPr>
                <w:rFonts w:ascii="Times New Roman" w:eastAsia="Times New Roman" w:hAnsi="Times New Roman" w:cs="Times New Roman"/>
                <w:i/>
                <w:iCs/>
                <w:color w:val="000000" w:themeColor="text1"/>
              </w:rPr>
              <w:t xml:space="preserve"> § 8 lõike 6¹ alusel kehtestatud määruses sätestatud nõudeid </w:t>
            </w:r>
            <w:r w:rsidR="00944713">
              <w:rPr>
                <w:rFonts w:ascii="Times New Roman" w:eastAsia="Times New Roman" w:hAnsi="Times New Roman" w:cs="Times New Roman"/>
                <w:i/>
                <w:iCs/>
                <w:color w:val="000000" w:themeColor="text1"/>
              </w:rPr>
              <w:t>pere</w:t>
            </w:r>
            <w:r w:rsidR="006D7E58" w:rsidRPr="32D382CF">
              <w:rPr>
                <w:rFonts w:ascii="Times New Roman" w:eastAsia="Times New Roman" w:hAnsi="Times New Roman" w:cs="Times New Roman"/>
                <w:i/>
                <w:iCs/>
                <w:color w:val="000000" w:themeColor="text1"/>
              </w:rPr>
              <w:t>arsti kontaktvastuvõttude korraldamisele.“</w:t>
            </w:r>
          </w:p>
          <w:p w14:paraId="5C5F1B6B" w14:textId="77777777" w:rsidR="004B325C" w:rsidRDefault="004B325C" w:rsidP="05742371">
            <w:pPr>
              <w:rPr>
                <w:rFonts w:ascii="Times New Roman" w:eastAsia="Times New Roman" w:hAnsi="Times New Roman" w:cs="Times New Roman"/>
                <w:i/>
                <w:iCs/>
                <w:color w:val="000000" w:themeColor="text1"/>
              </w:rPr>
            </w:pPr>
          </w:p>
          <w:p w14:paraId="7AF78C82" w14:textId="5E2C9F2C" w:rsidR="006D7E58" w:rsidRPr="006D7E58" w:rsidRDefault="006D7E58" w:rsidP="05742371">
            <w:pPr>
              <w:rPr>
                <w:rFonts w:ascii="Times New Roman" w:eastAsia="Times New Roman" w:hAnsi="Times New Roman" w:cs="Times New Roman"/>
              </w:rPr>
            </w:pPr>
            <w:r>
              <w:rPr>
                <w:rFonts w:ascii="Times New Roman" w:eastAsia="Times New Roman" w:hAnsi="Times New Roman" w:cs="Times New Roman"/>
              </w:rPr>
              <w:t xml:space="preserve">Erandjuhtudel on võimalik </w:t>
            </w:r>
            <w:r w:rsidR="004B325C">
              <w:rPr>
                <w:rFonts w:ascii="Times New Roman" w:eastAsia="Times New Roman" w:hAnsi="Times New Roman" w:cs="Times New Roman"/>
              </w:rPr>
              <w:t>riski- ja kriisipiirkondades teha erisusi ettenähtud normidest.</w:t>
            </w:r>
          </w:p>
        </w:tc>
      </w:tr>
      <w:tr w:rsidR="0008531E" w:rsidRPr="00E84545" w14:paraId="080A22A2" w14:textId="77777777" w:rsidTr="32D382CF">
        <w:tc>
          <w:tcPr>
            <w:tcW w:w="8075" w:type="dxa"/>
          </w:tcPr>
          <w:p w14:paraId="0B88D858" w14:textId="52DAF781" w:rsidR="0008531E" w:rsidRPr="00E84545" w:rsidRDefault="16DFCD0D" w:rsidP="7BE42B79">
            <w:pPr>
              <w:rPr>
                <w:rFonts w:ascii="Times New Roman" w:hAnsi="Times New Roman" w:cs="Times New Roman"/>
              </w:rPr>
            </w:pPr>
            <w:r w:rsidRPr="00E84545">
              <w:rPr>
                <w:rFonts w:ascii="Times New Roman" w:eastAsia="Aptos" w:hAnsi="Times New Roman" w:cs="Times New Roman"/>
              </w:rPr>
              <w:t>Soovime tuua siia sisse ka erandi lubamise võimaluse pikaajalise asendamise perioodi osas valitavatel ametikohtadel töötavatele nimistuga perearstidele kuni valitava ametiaja lõpuni, juhul kui on tagatud perearsti kvalifikatsiooniga või peremeditsiini residendi poolne asendus.</w:t>
            </w:r>
          </w:p>
        </w:tc>
        <w:tc>
          <w:tcPr>
            <w:tcW w:w="5919" w:type="dxa"/>
          </w:tcPr>
          <w:p w14:paraId="5B5023B8" w14:textId="77777777" w:rsidR="0008531E" w:rsidRDefault="5F6F8D98" w:rsidP="56FEBA5E">
            <w:pPr>
              <w:rPr>
                <w:rFonts w:ascii="Times New Roman" w:eastAsia="Times New Roman" w:hAnsi="Times New Roman" w:cs="Times New Roman"/>
                <w:color w:val="000000" w:themeColor="text1"/>
              </w:rPr>
            </w:pPr>
            <w:r w:rsidRPr="56FEBA5E">
              <w:rPr>
                <w:rFonts w:ascii="Times New Roman" w:hAnsi="Times New Roman" w:cs="Times New Roman"/>
              </w:rPr>
              <w:t xml:space="preserve">Arvestatud, täiendatud § </w:t>
            </w:r>
            <w:r w:rsidRPr="56FEBA5E">
              <w:rPr>
                <w:rFonts w:ascii="Times New Roman" w:eastAsia="Times New Roman" w:hAnsi="Times New Roman" w:cs="Times New Roman"/>
                <w:color w:val="000000" w:themeColor="text1"/>
              </w:rPr>
              <w:t>8</w:t>
            </w:r>
            <w:r w:rsidRPr="56FEBA5E">
              <w:rPr>
                <w:rFonts w:ascii="Times New Roman" w:eastAsia="Times New Roman" w:hAnsi="Times New Roman" w:cs="Times New Roman"/>
                <w:color w:val="000000" w:themeColor="text1"/>
                <w:vertAlign w:val="superscript"/>
              </w:rPr>
              <w:t>1</w:t>
            </w:r>
            <w:r w:rsidRPr="56FEBA5E">
              <w:rPr>
                <w:rFonts w:ascii="Times New Roman" w:eastAsia="Times New Roman" w:hAnsi="Times New Roman" w:cs="Times New Roman"/>
                <w:color w:val="000000" w:themeColor="text1"/>
              </w:rPr>
              <w:t xml:space="preserve"> lõiget 7</w:t>
            </w:r>
          </w:p>
          <w:p w14:paraId="1BE0542E" w14:textId="139308E8" w:rsidR="00B13AEA" w:rsidRPr="00B13AEA" w:rsidRDefault="00B13AEA" w:rsidP="56FEBA5E">
            <w:pPr>
              <w:rPr>
                <w:rFonts w:ascii="Times New Roman" w:hAnsi="Times New Roman" w:cs="Times New Roman"/>
                <w:i/>
                <w:iCs/>
              </w:rPr>
            </w:pPr>
            <w:r w:rsidRPr="00B13AEA">
              <w:rPr>
                <w:rFonts w:ascii="Times New Roman" w:hAnsi="Times New Roman" w:cs="Times New Roman"/>
                <w:i/>
                <w:iCs/>
              </w:rPr>
              <w:t>„Pikaajaline asendamine võib kesta kuni üks aasta, erialase enesetäiendamisega seotud koolituse korral kuni kaks aastat, vanemapuhkuse korral vanemapuhkuse lõppemiseni  ning riigi või kohaliku omavalitsuse ameti</w:t>
            </w:r>
            <w:r w:rsidR="00944713">
              <w:rPr>
                <w:rFonts w:ascii="Times New Roman" w:hAnsi="Times New Roman" w:cs="Times New Roman"/>
                <w:i/>
                <w:iCs/>
              </w:rPr>
              <w:t>ülesannete</w:t>
            </w:r>
            <w:r w:rsidRPr="00B13AEA">
              <w:rPr>
                <w:rFonts w:ascii="Times New Roman" w:hAnsi="Times New Roman" w:cs="Times New Roman"/>
                <w:i/>
                <w:iCs/>
              </w:rPr>
              <w:t xml:space="preserve"> täitmise ajal kuni volituste või ametiaja lõppemiseni.“</w:t>
            </w:r>
          </w:p>
        </w:tc>
      </w:tr>
      <w:tr w:rsidR="0008531E" w:rsidRPr="00E84545" w14:paraId="32260519" w14:textId="77777777" w:rsidTr="32D382CF">
        <w:tc>
          <w:tcPr>
            <w:tcW w:w="8075" w:type="dxa"/>
          </w:tcPr>
          <w:p w14:paraId="252E0515" w14:textId="2EAF3A63" w:rsidR="0008531E" w:rsidRPr="00E84545" w:rsidRDefault="16DFCD0D" w:rsidP="7BE42B79">
            <w:pPr>
              <w:rPr>
                <w:rFonts w:ascii="Times New Roman" w:hAnsi="Times New Roman" w:cs="Times New Roman"/>
              </w:rPr>
            </w:pPr>
            <w:r w:rsidRPr="00E84545">
              <w:rPr>
                <w:rFonts w:ascii="Times New Roman" w:eastAsia="Aptos" w:hAnsi="Times New Roman" w:cs="Times New Roman"/>
              </w:rPr>
              <w:t>Toetame VTK-s väljapakutud lahendust. Leiame, et tervisekeskuse poolne kohustus tagada nimistu teenindamine 3 kuu vältel ning õigus nimistut vastava võimekuse korral pikemalt (kuid fikseeritud tähtaja jooksul) asendada on omavahel tasakaalus ning aitavad kaasa perearstiabi osutamise katkematusele ning järjepidevusele. Samas näeme, et vastava punkti puhul peaks olema antud võimalus leida oma meeskonda sobiv personal ka grupipraksistele ja, et tingimused oleksid võrdsed nii grupipraksistel kui tervisekeskustel. Oluline on seejuures tingimus, et pikemaajaline asendamine on võimalik üksnes juhul, kui nimistule pakutakse asendamise ajal nõuetekohast ja kvaliteetset teenust.</w:t>
            </w:r>
          </w:p>
        </w:tc>
        <w:tc>
          <w:tcPr>
            <w:tcW w:w="5919" w:type="dxa"/>
          </w:tcPr>
          <w:p w14:paraId="5D3F181A" w14:textId="67E0AF82" w:rsidR="00C53C33" w:rsidRDefault="2402B7C5" w:rsidP="05742371">
            <w:pPr>
              <w:rPr>
                <w:rFonts w:ascii="Times New Roman" w:eastAsia="Times New Roman" w:hAnsi="Times New Roman" w:cs="Times New Roman"/>
                <w:color w:val="000000" w:themeColor="text1"/>
              </w:rPr>
            </w:pPr>
            <w:r w:rsidRPr="32D382CF">
              <w:rPr>
                <w:rFonts w:ascii="Times New Roman" w:hAnsi="Times New Roman" w:cs="Times New Roman"/>
              </w:rPr>
              <w:t>Arvestatud</w:t>
            </w:r>
            <w:r w:rsidR="00B13AEA" w:rsidRPr="32D382CF">
              <w:rPr>
                <w:rFonts w:ascii="Times New Roman" w:hAnsi="Times New Roman" w:cs="Times New Roman"/>
              </w:rPr>
              <w:t xml:space="preserve"> osaliselt</w:t>
            </w:r>
            <w:r w:rsidRPr="32D382CF">
              <w:rPr>
                <w:rFonts w:ascii="Times New Roman" w:hAnsi="Times New Roman" w:cs="Times New Roman"/>
              </w:rPr>
              <w:t xml:space="preserve">, </w:t>
            </w:r>
            <w:r w:rsidRPr="32D382CF">
              <w:rPr>
                <w:rFonts w:ascii="Times New Roman" w:eastAsia="Times New Roman" w:hAnsi="Times New Roman" w:cs="Times New Roman"/>
                <w:color w:val="000000" w:themeColor="text1"/>
              </w:rPr>
              <w:t>seadust täiendatakse §-ga 15</w:t>
            </w:r>
            <w:r w:rsidRPr="32D382CF">
              <w:rPr>
                <w:rFonts w:ascii="Times New Roman" w:eastAsia="Times New Roman" w:hAnsi="Times New Roman" w:cs="Times New Roman"/>
                <w:color w:val="000000" w:themeColor="text1"/>
                <w:vertAlign w:val="superscript"/>
              </w:rPr>
              <w:t>2</w:t>
            </w:r>
            <w:r w:rsidRPr="32D382CF">
              <w:rPr>
                <w:rFonts w:ascii="Times New Roman" w:eastAsia="Times New Roman" w:hAnsi="Times New Roman" w:cs="Times New Roman"/>
                <w:color w:val="000000" w:themeColor="text1"/>
              </w:rPr>
              <w:t xml:space="preserve">, milles sätestatakse tervisekeskuse </w:t>
            </w:r>
            <w:r w:rsidR="6AF52695" w:rsidRPr="32D382CF">
              <w:rPr>
                <w:rFonts w:ascii="Times New Roman" w:eastAsia="Times New Roman" w:hAnsi="Times New Roman" w:cs="Times New Roman"/>
                <w:color w:val="000000" w:themeColor="text1"/>
              </w:rPr>
              <w:t>ülesanded asenduste korraldamisel.</w:t>
            </w:r>
            <w:r w:rsidR="006C5F58" w:rsidRPr="32D382CF">
              <w:rPr>
                <w:rFonts w:ascii="Times New Roman" w:eastAsia="Times New Roman" w:hAnsi="Times New Roman" w:cs="Times New Roman"/>
                <w:color w:val="000000" w:themeColor="text1"/>
              </w:rPr>
              <w:t xml:space="preserve"> Kui perearstilt võetakse nimistu ära TTKS §-s 37 nimetatud alusel, siis on tervisekeskusel kohustus nimistut teenindada kolm kuud</w:t>
            </w:r>
            <w:r w:rsidR="00A86EA3" w:rsidRPr="32D382CF">
              <w:rPr>
                <w:rFonts w:ascii="Times New Roman" w:eastAsia="Times New Roman" w:hAnsi="Times New Roman" w:cs="Times New Roman"/>
                <w:color w:val="000000" w:themeColor="text1"/>
              </w:rPr>
              <w:t>, peale seda aega on tervisekeskusel võimalik nimistu teenindamisega jätkata kuni ravi rahastamise perioodi lõpuni</w:t>
            </w:r>
            <w:r w:rsidR="3E0964A0" w:rsidRPr="32D382CF">
              <w:rPr>
                <w:rFonts w:ascii="Times New Roman" w:eastAsia="Times New Roman" w:hAnsi="Times New Roman" w:cs="Times New Roman"/>
                <w:color w:val="000000" w:themeColor="text1"/>
              </w:rPr>
              <w:t>.</w:t>
            </w:r>
            <w:r w:rsidR="00A86EA3" w:rsidRPr="32D382CF">
              <w:rPr>
                <w:rFonts w:ascii="Times New Roman" w:eastAsia="Times New Roman" w:hAnsi="Times New Roman" w:cs="Times New Roman"/>
                <w:color w:val="000000" w:themeColor="text1"/>
              </w:rPr>
              <w:t xml:space="preserve"> </w:t>
            </w:r>
          </w:p>
          <w:p w14:paraId="2221C22A" w14:textId="77777777" w:rsidR="00C53C33" w:rsidRDefault="00C53C33" w:rsidP="05742371">
            <w:pPr>
              <w:rPr>
                <w:rFonts w:ascii="Times New Roman" w:eastAsia="Times New Roman" w:hAnsi="Times New Roman" w:cs="Times New Roman"/>
                <w:color w:val="000000" w:themeColor="text1"/>
              </w:rPr>
            </w:pPr>
          </w:p>
          <w:p w14:paraId="4150F4CE" w14:textId="7996EE59" w:rsidR="0008531E" w:rsidRDefault="00A86EA3" w:rsidP="0574237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Grupipraksistele </w:t>
            </w:r>
            <w:r w:rsidR="00C53C33">
              <w:rPr>
                <w:rFonts w:ascii="Times New Roman" w:eastAsia="Times New Roman" w:hAnsi="Times New Roman" w:cs="Times New Roman"/>
                <w:color w:val="000000" w:themeColor="text1"/>
              </w:rPr>
              <w:t>antud muudatuste ringis seda erisust ei tehtud</w:t>
            </w:r>
            <w:r w:rsidR="00E203CF">
              <w:rPr>
                <w:rFonts w:ascii="Times New Roman" w:eastAsia="Times New Roman" w:hAnsi="Times New Roman" w:cs="Times New Roman"/>
                <w:color w:val="000000" w:themeColor="text1"/>
              </w:rPr>
              <w:t xml:space="preserve">, </w:t>
            </w:r>
            <w:r w:rsidR="008B3FCF">
              <w:rPr>
                <w:rFonts w:ascii="Times New Roman" w:eastAsia="Times New Roman" w:hAnsi="Times New Roman" w:cs="Times New Roman"/>
                <w:color w:val="000000" w:themeColor="text1"/>
              </w:rPr>
              <w:t>teema va</w:t>
            </w:r>
            <w:r w:rsidR="006E0ECF">
              <w:rPr>
                <w:rFonts w:ascii="Times New Roman" w:eastAsia="Times New Roman" w:hAnsi="Times New Roman" w:cs="Times New Roman"/>
                <w:color w:val="000000" w:themeColor="text1"/>
              </w:rPr>
              <w:t>jab edas</w:t>
            </w:r>
            <w:r w:rsidR="003F37F8">
              <w:rPr>
                <w:rFonts w:ascii="Times New Roman" w:eastAsia="Times New Roman" w:hAnsi="Times New Roman" w:cs="Times New Roman"/>
                <w:color w:val="000000" w:themeColor="text1"/>
              </w:rPr>
              <w:t>ist arut</w:t>
            </w:r>
            <w:r w:rsidR="00655D2B">
              <w:rPr>
                <w:rFonts w:ascii="Times New Roman" w:eastAsia="Times New Roman" w:hAnsi="Times New Roman" w:cs="Times New Roman"/>
                <w:color w:val="000000" w:themeColor="text1"/>
              </w:rPr>
              <w:t>elu.</w:t>
            </w:r>
          </w:p>
          <w:p w14:paraId="7185B963" w14:textId="0751AB45" w:rsidR="00A86EA3" w:rsidRPr="00E84545" w:rsidRDefault="00A86EA3" w:rsidP="05742371">
            <w:pPr>
              <w:rPr>
                <w:rFonts w:ascii="Times New Roman" w:eastAsia="Times New Roman" w:hAnsi="Times New Roman" w:cs="Times New Roman"/>
                <w:color w:val="000000" w:themeColor="text1"/>
                <w:vertAlign w:val="superscript"/>
              </w:rPr>
            </w:pPr>
          </w:p>
        </w:tc>
      </w:tr>
      <w:tr w:rsidR="00AA37FC" w:rsidRPr="00E84545" w14:paraId="11D04233" w14:textId="77777777" w:rsidTr="32D382CF">
        <w:tc>
          <w:tcPr>
            <w:tcW w:w="8075" w:type="dxa"/>
          </w:tcPr>
          <w:p w14:paraId="3B56A546" w14:textId="07C2F934" w:rsidR="00AA37FC" w:rsidRPr="00E84545" w:rsidRDefault="16DFCD0D" w:rsidP="7BE42B79">
            <w:pPr>
              <w:rPr>
                <w:rFonts w:ascii="Times New Roman" w:hAnsi="Times New Roman" w:cs="Times New Roman"/>
              </w:rPr>
            </w:pPr>
            <w:r w:rsidRPr="00E84545">
              <w:rPr>
                <w:rFonts w:ascii="Times New Roman" w:eastAsia="Aptos" w:hAnsi="Times New Roman" w:cs="Times New Roman"/>
              </w:rPr>
              <w:lastRenderedPageBreak/>
              <w:t>Leiame, et nimistukonkursside korraldamine peaks jääma Tervisekassa ülesandeks ning me ei toeta selle funktsiooni PITK-ile üleandmise võimaluse loomist.</w:t>
            </w:r>
          </w:p>
        </w:tc>
        <w:tc>
          <w:tcPr>
            <w:tcW w:w="5919" w:type="dxa"/>
          </w:tcPr>
          <w:p w14:paraId="2E6C4B3D" w14:textId="5B3598FF" w:rsidR="00BE6754" w:rsidRDefault="00BE6754" w:rsidP="00BE6754">
            <w:pPr>
              <w:rPr>
                <w:rFonts w:ascii="Times New Roman" w:hAnsi="Times New Roman"/>
                <w:bCs/>
              </w:rPr>
            </w:pPr>
            <w:r w:rsidRPr="32D382CF">
              <w:rPr>
                <w:rFonts w:ascii="Times New Roman" w:hAnsi="Times New Roman"/>
              </w:rPr>
              <w:t>Seaduse vastuvõtmisel tuleb kehtestatakse uus sotsiaalministri määrus:</w:t>
            </w:r>
          </w:p>
          <w:p w14:paraId="7494DA92" w14:textId="5637F925" w:rsidR="00BE6754" w:rsidRPr="00BE6754" w:rsidRDefault="1E6F279D" w:rsidP="32D382CF">
            <w:pPr>
              <w:jc w:val="both"/>
              <w:rPr>
                <w:rFonts w:ascii="Times New Roman" w:eastAsia="Aptos" w:hAnsi="Times New Roman" w:cs="Arial"/>
                <w:i/>
                <w:iCs/>
              </w:rPr>
            </w:pPr>
            <w:r w:rsidRPr="32D382CF">
              <w:rPr>
                <w:rFonts w:ascii="Times New Roman" w:eastAsia="Aptos" w:hAnsi="Times New Roman" w:cs="Arial"/>
                <w:i/>
                <w:iCs/>
              </w:rPr>
              <w:t xml:space="preserve">“Riski- ja kriisipiirkondade määramise alused ning regionaalselt rakendatavad meetmed </w:t>
            </w:r>
            <w:r w:rsidRPr="32D382CF">
              <w:rPr>
                <w:rFonts w:ascii="Times New Roman" w:eastAsia="Aptos" w:hAnsi="Times New Roman" w:cs="Arial"/>
                <w:i/>
                <w:iCs/>
                <w:color w:val="000000" w:themeColor="text1"/>
              </w:rPr>
              <w:t>ja nende rakendamise tingimused ja kord</w:t>
            </w:r>
            <w:r w:rsidRPr="32D382CF">
              <w:rPr>
                <w:rFonts w:ascii="Times New Roman" w:eastAsia="Aptos" w:hAnsi="Times New Roman" w:cs="Arial"/>
                <w:i/>
                <w:iCs/>
              </w:rPr>
              <w:t>.”</w:t>
            </w:r>
          </w:p>
          <w:p w14:paraId="7F9023B7" w14:textId="1116AF3A" w:rsidR="00BE6754" w:rsidRPr="00BE6754" w:rsidRDefault="00BE6754" w:rsidP="32D382CF">
            <w:pPr>
              <w:jc w:val="both"/>
              <w:rPr>
                <w:rFonts w:ascii="Times New Roman" w:eastAsia="Aptos" w:hAnsi="Times New Roman" w:cs="Arial"/>
                <w:i/>
                <w:iCs/>
              </w:rPr>
            </w:pPr>
          </w:p>
          <w:p w14:paraId="0B8F3B0E" w14:textId="6A4D392A" w:rsidR="00BE6754" w:rsidRPr="00BE6754" w:rsidRDefault="00C35550" w:rsidP="00BE6754">
            <w:pPr>
              <w:jc w:val="both"/>
              <w:rPr>
                <w:rFonts w:ascii="Times New Roman" w:hAnsi="Times New Roman"/>
              </w:rPr>
            </w:pPr>
            <w:r w:rsidRPr="32D382CF">
              <w:rPr>
                <w:rFonts w:ascii="Times New Roman" w:hAnsi="Times New Roman"/>
                <w:color w:val="000000" w:themeColor="text1"/>
              </w:rPr>
              <w:t xml:space="preserve">Nimetatud määruses </w:t>
            </w:r>
            <w:r w:rsidR="007A58C1" w:rsidRPr="32D382CF">
              <w:rPr>
                <w:rFonts w:ascii="Times New Roman" w:hAnsi="Times New Roman"/>
                <w:color w:val="000000" w:themeColor="text1"/>
              </w:rPr>
              <w:t>kirjeldatakse</w:t>
            </w:r>
            <w:r w:rsidR="5351106D" w:rsidRPr="32D382CF">
              <w:rPr>
                <w:rFonts w:ascii="Times New Roman" w:hAnsi="Times New Roman"/>
                <w:color w:val="000000" w:themeColor="text1"/>
              </w:rPr>
              <w:t xml:space="preserve"> ka</w:t>
            </w:r>
            <w:r w:rsidR="007A58C1" w:rsidRPr="32D382CF">
              <w:rPr>
                <w:rFonts w:ascii="Times New Roman" w:hAnsi="Times New Roman"/>
                <w:color w:val="000000" w:themeColor="text1"/>
              </w:rPr>
              <w:t xml:space="preserve"> laiendatud ülesannetega tervisekeskuse määramise tingimused ja kord.</w:t>
            </w:r>
          </w:p>
          <w:p w14:paraId="060F3E28" w14:textId="6F51C12A" w:rsidR="00AA37FC" w:rsidRPr="00E84545" w:rsidRDefault="00AA37FC" w:rsidP="05742371">
            <w:pPr>
              <w:rPr>
                <w:rFonts w:ascii="Times New Roman" w:hAnsi="Times New Roman" w:cs="Times New Roman"/>
                <w:color w:val="4EA72E" w:themeColor="accent6"/>
              </w:rPr>
            </w:pPr>
          </w:p>
        </w:tc>
      </w:tr>
      <w:tr w:rsidR="0008531E" w:rsidRPr="00E84545" w14:paraId="3E7536E9" w14:textId="77777777" w:rsidTr="32D382CF">
        <w:tc>
          <w:tcPr>
            <w:tcW w:w="8075" w:type="dxa"/>
          </w:tcPr>
          <w:p w14:paraId="137D7EF3" w14:textId="72D3EB25" w:rsidR="0008531E" w:rsidRPr="00E84545" w:rsidRDefault="3B81A2CC" w:rsidP="7BE42B79">
            <w:pPr>
              <w:rPr>
                <w:rFonts w:ascii="Times New Roman" w:hAnsi="Times New Roman" w:cs="Times New Roman"/>
              </w:rPr>
            </w:pPr>
            <w:r w:rsidRPr="00E84545">
              <w:rPr>
                <w:rFonts w:ascii="Times New Roman" w:eastAsia="Aptos" w:hAnsi="Times New Roman" w:cs="Times New Roman"/>
              </w:rPr>
              <w:t>PITK-i konkurss, LÜTK</w:t>
            </w:r>
            <w:r w:rsidR="00C53C33">
              <w:rPr>
                <w:rFonts w:ascii="Times New Roman" w:eastAsia="Aptos" w:hAnsi="Times New Roman" w:cs="Times New Roman"/>
              </w:rPr>
              <w:t xml:space="preserve">. </w:t>
            </w:r>
            <w:r w:rsidRPr="00E84545">
              <w:rPr>
                <w:rFonts w:ascii="Times New Roman" w:eastAsia="Aptos" w:hAnsi="Times New Roman" w:cs="Times New Roman"/>
              </w:rPr>
              <w:t>Toetame alternatiivi nr 3. Leiame, et kirjeldatud teenuste vajaduse hindamine piirkonnas võiks toimuda strateegilise plaani alusel. Tuvastatud vajadusega teenuste osas saaks Tervisekassa kuulutada välja konkursse, kusjuures võimalikud võiksid olla konkursid nii üksikteenuste, pakettide kui kogu piirkonnas vajamineva komplekti jaoks. Konkursil osalemine ning selle kaudu lisaülesannete võtmine peaks keskuste jaoks olema vabatahtlik ja tasustatud. Konkurssidel osalemine võiks olla võimalik kõigi perearstiabi osutajate (või nende võrgustike) jaoks - Kuigi tervisekeskused soovivad tõenäolisemalt piirkonnas vajalike lisateenuste pakkumise võimekust luua, ei tähenda see, et muud tüüpi perearstiabi osutajad või nende võrgustikud tuleks automaatselt välja jätta. See tagab ühtlasi suurema ringi potentsiaalseid teenusepakkujad ning soodustab sisulist konkurentsi piirkonnas vajalike lisafunktsioonide täitmiseks. Täiendavat läbiarutamist vajab hindamise/seire/järelevalve ning ülesannete tähtaegade ja perioodide regulatsioon, sh küsimused, kas varasem nõuetekohane ülesannete täitmine peaks andma eelise järgmisel konkursil ning kuidas toimub reageerimine ajas muutuvatele vajadustele.</w:t>
            </w:r>
          </w:p>
        </w:tc>
        <w:tc>
          <w:tcPr>
            <w:tcW w:w="5919" w:type="dxa"/>
          </w:tcPr>
          <w:p w14:paraId="16A8E85D" w14:textId="5B3598FF" w:rsidR="79ADF67E" w:rsidRDefault="79ADF67E" w:rsidP="32D382CF">
            <w:pPr>
              <w:rPr>
                <w:rFonts w:ascii="Times New Roman" w:hAnsi="Times New Roman"/>
              </w:rPr>
            </w:pPr>
            <w:r w:rsidRPr="32D382CF">
              <w:rPr>
                <w:rFonts w:ascii="Times New Roman" w:hAnsi="Times New Roman"/>
              </w:rPr>
              <w:t>Seaduse vastuvõtmisel tuleb kehtestatakse uus sotsiaalministri määrus:</w:t>
            </w:r>
          </w:p>
          <w:p w14:paraId="475799AE" w14:textId="5637F925" w:rsidR="79ADF67E" w:rsidRDefault="79ADF67E" w:rsidP="32D382CF">
            <w:pPr>
              <w:jc w:val="both"/>
              <w:rPr>
                <w:rFonts w:ascii="Times New Roman" w:eastAsia="Aptos" w:hAnsi="Times New Roman" w:cs="Arial"/>
                <w:i/>
                <w:iCs/>
              </w:rPr>
            </w:pPr>
            <w:r w:rsidRPr="32D382CF">
              <w:rPr>
                <w:rFonts w:ascii="Times New Roman" w:eastAsia="Aptos" w:hAnsi="Times New Roman" w:cs="Arial"/>
                <w:i/>
                <w:iCs/>
              </w:rPr>
              <w:t xml:space="preserve">“Riski- ja kriisipiirkondade määramise alused ning regionaalselt rakendatavad meetmed </w:t>
            </w:r>
            <w:r w:rsidRPr="32D382CF">
              <w:rPr>
                <w:rFonts w:ascii="Times New Roman" w:eastAsia="Aptos" w:hAnsi="Times New Roman" w:cs="Arial"/>
                <w:i/>
                <w:iCs/>
                <w:color w:val="000000" w:themeColor="text1"/>
              </w:rPr>
              <w:t>ja nende rakendamise tingimused ja kord</w:t>
            </w:r>
            <w:r w:rsidRPr="32D382CF">
              <w:rPr>
                <w:rFonts w:ascii="Times New Roman" w:eastAsia="Aptos" w:hAnsi="Times New Roman" w:cs="Arial"/>
                <w:i/>
                <w:iCs/>
              </w:rPr>
              <w:t>.”</w:t>
            </w:r>
          </w:p>
          <w:p w14:paraId="4AC4D524" w14:textId="16434EAC" w:rsidR="32D382CF" w:rsidRDefault="32D382CF" w:rsidP="32D382CF">
            <w:pPr>
              <w:jc w:val="both"/>
              <w:rPr>
                <w:rFonts w:ascii="Times New Roman" w:eastAsia="Aptos" w:hAnsi="Times New Roman" w:cs="Arial"/>
                <w:i/>
                <w:iCs/>
              </w:rPr>
            </w:pPr>
          </w:p>
          <w:p w14:paraId="74792194" w14:textId="0559118C" w:rsidR="79ADF67E" w:rsidRDefault="79ADF67E" w:rsidP="32D382CF">
            <w:pPr>
              <w:jc w:val="both"/>
              <w:rPr>
                <w:rFonts w:ascii="Times New Roman" w:hAnsi="Times New Roman"/>
              </w:rPr>
            </w:pPr>
            <w:r w:rsidRPr="32D382CF">
              <w:rPr>
                <w:rFonts w:ascii="Times New Roman" w:hAnsi="Times New Roman"/>
                <w:color w:val="000000" w:themeColor="text1"/>
              </w:rPr>
              <w:t xml:space="preserve">Nimetatud määruses kirjeldatakse ka laiendatud ülesannetega tervisekeskuse </w:t>
            </w:r>
            <w:r w:rsidR="009C3564">
              <w:rPr>
                <w:rFonts w:ascii="Times New Roman" w:hAnsi="Times New Roman"/>
                <w:color w:val="000000" w:themeColor="text1"/>
              </w:rPr>
              <w:t xml:space="preserve">lepingu sõlmimise </w:t>
            </w:r>
            <w:r w:rsidRPr="32D382CF">
              <w:rPr>
                <w:rFonts w:ascii="Times New Roman" w:hAnsi="Times New Roman"/>
                <w:color w:val="000000" w:themeColor="text1"/>
              </w:rPr>
              <w:t>tingimused ja kord.</w:t>
            </w:r>
          </w:p>
          <w:p w14:paraId="29247ECA" w14:textId="53CBDC7E" w:rsidR="32D382CF" w:rsidRDefault="32D382CF" w:rsidP="32D382CF">
            <w:pPr>
              <w:jc w:val="both"/>
              <w:rPr>
                <w:rFonts w:ascii="Times New Roman" w:hAnsi="Times New Roman"/>
                <w:color w:val="000000" w:themeColor="text1"/>
              </w:rPr>
            </w:pPr>
          </w:p>
          <w:p w14:paraId="507BF510" w14:textId="412EDF64" w:rsidR="0008531E" w:rsidRPr="00E84545" w:rsidRDefault="0008531E" w:rsidP="05742371">
            <w:pPr>
              <w:rPr>
                <w:rFonts w:ascii="Times New Roman" w:eastAsia="Times New Roman" w:hAnsi="Times New Roman" w:cs="Times New Roman"/>
              </w:rPr>
            </w:pPr>
          </w:p>
        </w:tc>
      </w:tr>
      <w:tr w:rsidR="0008531E" w:rsidRPr="00E84545" w14:paraId="5FFD3983" w14:textId="77777777" w:rsidTr="32D382CF">
        <w:tc>
          <w:tcPr>
            <w:tcW w:w="8075" w:type="dxa"/>
          </w:tcPr>
          <w:p w14:paraId="19DE3C81" w14:textId="256B04C5" w:rsidR="0008531E" w:rsidRPr="00E84545" w:rsidRDefault="7C78FCB6" w:rsidP="7BE42B79">
            <w:pPr>
              <w:rPr>
                <w:rFonts w:ascii="Times New Roman" w:hAnsi="Times New Roman" w:cs="Times New Roman"/>
              </w:rPr>
            </w:pPr>
            <w:r w:rsidRPr="00E84545">
              <w:rPr>
                <w:rFonts w:ascii="Times New Roman" w:eastAsia="Aptos" w:hAnsi="Times New Roman" w:cs="Times New Roman"/>
              </w:rPr>
              <w:t>Teeme ettepaneku esialgu viia ellu alternatiivina nr 1 pakutud lahendus - st säte</w:t>
            </w:r>
            <w:r w:rsidR="00C53C33">
              <w:rPr>
                <w:rFonts w:ascii="Times New Roman" w:eastAsia="Aptos" w:hAnsi="Times New Roman" w:cs="Times New Roman"/>
              </w:rPr>
              <w:t>s</w:t>
            </w:r>
            <w:r w:rsidRPr="00E84545">
              <w:rPr>
                <w:rFonts w:ascii="Times New Roman" w:eastAsia="Aptos" w:hAnsi="Times New Roman" w:cs="Times New Roman"/>
              </w:rPr>
              <w:t>tada tingimus, et perearst peab koos nimistuga lahkumisel ka TTO-d vähemalt 6 kuud ette teavitama, ning soodustada osanike lepingute sõlmimist (nt koolituste korraldamine osanike lepingute ning osalusoptsioonide tutvustamiseks jm).</w:t>
            </w:r>
          </w:p>
        </w:tc>
        <w:tc>
          <w:tcPr>
            <w:tcW w:w="5919" w:type="dxa"/>
          </w:tcPr>
          <w:p w14:paraId="7DC3EA37" w14:textId="6603BDB5" w:rsidR="00EE6F62" w:rsidRPr="00E84545" w:rsidRDefault="4BD40B55">
            <w:pPr>
              <w:rPr>
                <w:rFonts w:ascii="Times New Roman" w:hAnsi="Times New Roman" w:cs="Times New Roman"/>
              </w:rPr>
            </w:pPr>
            <w:r w:rsidRPr="05742371">
              <w:rPr>
                <w:rFonts w:ascii="Times New Roman" w:hAnsi="Times New Roman" w:cs="Times New Roman"/>
              </w:rPr>
              <w:t>Arvestatud</w:t>
            </w:r>
            <w:r w:rsidR="006C2C27">
              <w:rPr>
                <w:rFonts w:ascii="Times New Roman" w:hAnsi="Times New Roman" w:cs="Times New Roman"/>
              </w:rPr>
              <w:t xml:space="preserve">, lisatud § </w:t>
            </w:r>
            <w:r w:rsidR="006C2C27" w:rsidRPr="006C2C27">
              <w:rPr>
                <w:rFonts w:ascii="Times New Roman" w:hAnsi="Times New Roman" w:cs="Times New Roman"/>
              </w:rPr>
              <w:t>15</w:t>
            </w:r>
            <w:r w:rsidR="006C2C27" w:rsidRPr="006C2C27">
              <w:rPr>
                <w:rFonts w:ascii="Times New Roman" w:hAnsi="Times New Roman" w:cs="Times New Roman"/>
                <w:vertAlign w:val="superscript"/>
              </w:rPr>
              <w:t>1 </w:t>
            </w:r>
            <w:r w:rsidR="006C2C27">
              <w:rPr>
                <w:rFonts w:ascii="Times New Roman" w:hAnsi="Times New Roman" w:cs="Times New Roman"/>
              </w:rPr>
              <w:t xml:space="preserve">täiendav lõige 4 </w:t>
            </w:r>
            <w:r w:rsidR="006C2C27" w:rsidRPr="00433C6F">
              <w:rPr>
                <w:rFonts w:ascii="Times New Roman" w:hAnsi="Times New Roman" w:cs="Times New Roman"/>
                <w:i/>
                <w:iCs/>
              </w:rPr>
              <w:t>„</w:t>
            </w:r>
            <w:r w:rsidR="00433C6F" w:rsidRPr="00433C6F">
              <w:rPr>
                <w:rFonts w:ascii="Times New Roman" w:hAnsi="Times New Roman" w:cs="Times New Roman"/>
                <w:i/>
                <w:iCs/>
              </w:rPr>
              <w:t xml:space="preserve">Kui perearst soovib koos nimistuga tervisekeskusest lahkuda, siis </w:t>
            </w:r>
            <w:r w:rsidR="00944713" w:rsidRPr="00433C6F">
              <w:rPr>
                <w:rFonts w:ascii="Times New Roman" w:hAnsi="Times New Roman" w:cs="Times New Roman"/>
                <w:i/>
                <w:iCs/>
              </w:rPr>
              <w:t>on</w:t>
            </w:r>
            <w:r w:rsidR="00944713" w:rsidRPr="00433C6F">
              <w:rPr>
                <w:rFonts w:ascii="Times New Roman" w:hAnsi="Times New Roman" w:cs="Times New Roman"/>
                <w:i/>
                <w:iCs/>
              </w:rPr>
              <w:t xml:space="preserve"> </w:t>
            </w:r>
            <w:r w:rsidR="00433C6F" w:rsidRPr="00433C6F">
              <w:rPr>
                <w:rFonts w:ascii="Times New Roman" w:hAnsi="Times New Roman" w:cs="Times New Roman"/>
                <w:i/>
                <w:iCs/>
              </w:rPr>
              <w:t>ta kohustatud teavitama tervisekeskust vähemalt kuus kuud ette</w:t>
            </w:r>
            <w:r w:rsidR="00944713">
              <w:rPr>
                <w:rFonts w:ascii="Times New Roman" w:hAnsi="Times New Roman" w:cs="Times New Roman"/>
                <w:i/>
                <w:iCs/>
              </w:rPr>
              <w:t>, kui pooled ei ole teisiti kokku leppinud</w:t>
            </w:r>
            <w:r w:rsidR="00433C6F" w:rsidRPr="00433C6F">
              <w:rPr>
                <w:rFonts w:ascii="Times New Roman" w:hAnsi="Times New Roman" w:cs="Times New Roman"/>
                <w:i/>
                <w:iCs/>
              </w:rPr>
              <w:t>.“</w:t>
            </w:r>
          </w:p>
        </w:tc>
      </w:tr>
      <w:tr w:rsidR="7BE42B79" w:rsidRPr="00E84545" w14:paraId="7594D51D" w14:textId="77777777" w:rsidTr="32D382CF">
        <w:trPr>
          <w:trHeight w:val="300"/>
        </w:trPr>
        <w:tc>
          <w:tcPr>
            <w:tcW w:w="8075" w:type="dxa"/>
          </w:tcPr>
          <w:p w14:paraId="5D2A966A" w14:textId="04053C71" w:rsidR="7C78FCB6" w:rsidRPr="00E84545" w:rsidRDefault="7C78FCB6" w:rsidP="7BE42B79">
            <w:pPr>
              <w:rPr>
                <w:rFonts w:ascii="Times New Roman" w:hAnsi="Times New Roman" w:cs="Times New Roman"/>
              </w:rPr>
            </w:pPr>
            <w:r w:rsidRPr="00E84545">
              <w:rPr>
                <w:rFonts w:ascii="Times New Roman" w:eastAsia="Aptos" w:hAnsi="Times New Roman" w:cs="Times New Roman"/>
              </w:rPr>
              <w:lastRenderedPageBreak/>
              <w:t>Toetame VTK-s toodud ettepanekut ja nõustume, et perearstiabis ei tohiks olla võimalik kuni 60-päevase katkestuse tekkimine. Kui mõnes keskuses ei ole mingil põhjusel võimalik tagada perarstiabi osutamist, tuleks sellest teavitada vastavaid instantse ning süsteemselt toetada keskust lahenduste leidmisel.</w:t>
            </w:r>
          </w:p>
        </w:tc>
        <w:tc>
          <w:tcPr>
            <w:tcW w:w="5919" w:type="dxa"/>
          </w:tcPr>
          <w:p w14:paraId="155A8A7D" w14:textId="1E65E147" w:rsidR="7BE42B79" w:rsidRPr="00E84545" w:rsidRDefault="29EA6536" w:rsidP="7BE42B79">
            <w:pPr>
              <w:rPr>
                <w:rFonts w:ascii="Times New Roman" w:hAnsi="Times New Roman" w:cs="Times New Roman"/>
              </w:rPr>
            </w:pPr>
            <w:r w:rsidRPr="05742371">
              <w:rPr>
                <w:rFonts w:ascii="Times New Roman" w:hAnsi="Times New Roman" w:cs="Times New Roman"/>
              </w:rPr>
              <w:t>Arvestatud</w:t>
            </w:r>
            <w:r w:rsidR="00433C6F">
              <w:rPr>
                <w:rFonts w:ascii="Times New Roman" w:hAnsi="Times New Roman" w:cs="Times New Roman"/>
              </w:rPr>
              <w:t xml:space="preserve">, </w:t>
            </w:r>
            <w:r w:rsidR="00F12054">
              <w:rPr>
                <w:rFonts w:ascii="Times New Roman" w:hAnsi="Times New Roman" w:cs="Times New Roman"/>
              </w:rPr>
              <w:t xml:space="preserve">muudetakse </w:t>
            </w:r>
            <w:r w:rsidR="00433C6F">
              <w:rPr>
                <w:rFonts w:ascii="Times New Roman" w:hAnsi="Times New Roman" w:cs="Times New Roman"/>
              </w:rPr>
              <w:t xml:space="preserve">§ </w:t>
            </w:r>
            <w:r w:rsidR="00433C6F" w:rsidRPr="00433C6F">
              <w:rPr>
                <w:rFonts w:ascii="Times New Roman" w:hAnsi="Times New Roman" w:cs="Times New Roman"/>
              </w:rPr>
              <w:t>37 lõi</w:t>
            </w:r>
            <w:r w:rsidR="00F12054">
              <w:rPr>
                <w:rFonts w:ascii="Times New Roman" w:hAnsi="Times New Roman" w:cs="Times New Roman"/>
              </w:rPr>
              <w:t>ke</w:t>
            </w:r>
            <w:r w:rsidR="00433C6F" w:rsidRPr="00433C6F">
              <w:rPr>
                <w:rFonts w:ascii="Times New Roman" w:hAnsi="Times New Roman" w:cs="Times New Roman"/>
              </w:rPr>
              <w:t xml:space="preserve"> 2 punkt</w:t>
            </w:r>
            <w:r w:rsidR="00F12054">
              <w:rPr>
                <w:rFonts w:ascii="Times New Roman" w:hAnsi="Times New Roman" w:cs="Times New Roman"/>
              </w:rPr>
              <w:t>i</w:t>
            </w:r>
            <w:r w:rsidR="00433C6F" w:rsidRPr="00433C6F">
              <w:rPr>
                <w:rFonts w:ascii="Times New Roman" w:hAnsi="Times New Roman" w:cs="Times New Roman"/>
              </w:rPr>
              <w:t> 1</w:t>
            </w:r>
            <w:r w:rsidR="00F12054">
              <w:rPr>
                <w:rFonts w:ascii="Times New Roman" w:hAnsi="Times New Roman" w:cs="Times New Roman"/>
              </w:rPr>
              <w:t xml:space="preserve">, kus </w:t>
            </w:r>
            <w:r w:rsidR="00622BE4" w:rsidRPr="00622BE4">
              <w:rPr>
                <w:rFonts w:ascii="Times New Roman" w:hAnsi="Times New Roman" w:cs="Times New Roman"/>
              </w:rPr>
              <w:t xml:space="preserve">arv „60“ </w:t>
            </w:r>
            <w:r w:rsidR="00622BE4">
              <w:rPr>
                <w:rFonts w:ascii="Times New Roman" w:hAnsi="Times New Roman" w:cs="Times New Roman"/>
              </w:rPr>
              <w:t xml:space="preserve">asendatakse </w:t>
            </w:r>
            <w:r w:rsidR="00622BE4" w:rsidRPr="00622BE4">
              <w:rPr>
                <w:rFonts w:ascii="Times New Roman" w:hAnsi="Times New Roman" w:cs="Times New Roman"/>
              </w:rPr>
              <w:t>arvuga „30“</w:t>
            </w:r>
          </w:p>
        </w:tc>
      </w:tr>
      <w:tr w:rsidR="7BE42B79" w:rsidRPr="00E84545" w14:paraId="522CCAE8" w14:textId="77777777" w:rsidTr="32D382CF">
        <w:trPr>
          <w:trHeight w:val="300"/>
        </w:trPr>
        <w:tc>
          <w:tcPr>
            <w:tcW w:w="8075" w:type="dxa"/>
          </w:tcPr>
          <w:p w14:paraId="7EC6985E" w14:textId="5ED85E41" w:rsidR="7C78FCB6" w:rsidRPr="00E84545" w:rsidRDefault="00622BE4" w:rsidP="7BE42B79">
            <w:pPr>
              <w:rPr>
                <w:rFonts w:ascii="Times New Roman" w:hAnsi="Times New Roman" w:cs="Times New Roman"/>
              </w:rPr>
            </w:pPr>
            <w:r>
              <w:rPr>
                <w:rFonts w:ascii="Times New Roman" w:eastAsia="Aptos" w:hAnsi="Times New Roman" w:cs="Times New Roman"/>
              </w:rPr>
              <w:t>V</w:t>
            </w:r>
            <w:r w:rsidR="7C78FCB6" w:rsidRPr="00E84545">
              <w:rPr>
                <w:rFonts w:ascii="Times New Roman" w:eastAsia="Aptos" w:hAnsi="Times New Roman" w:cs="Times New Roman"/>
              </w:rPr>
              <w:t>astuvõtuaegade avaldamine Toetame VTK-s toodud lahendust ja nõustume selle põhjendustega.</w:t>
            </w:r>
          </w:p>
        </w:tc>
        <w:tc>
          <w:tcPr>
            <w:tcW w:w="5919" w:type="dxa"/>
          </w:tcPr>
          <w:p w14:paraId="2EA34F3A" w14:textId="3891C8A8" w:rsidR="7BE42B79" w:rsidRPr="00E84545" w:rsidRDefault="4C07C1D7" w:rsidP="7BE42B79">
            <w:pPr>
              <w:rPr>
                <w:rFonts w:ascii="Times New Roman" w:hAnsi="Times New Roman" w:cs="Times New Roman"/>
              </w:rPr>
            </w:pPr>
            <w:r w:rsidRPr="05742371">
              <w:rPr>
                <w:rFonts w:ascii="Times New Roman" w:hAnsi="Times New Roman" w:cs="Times New Roman"/>
              </w:rPr>
              <w:t>Arvestatud</w:t>
            </w:r>
            <w:r w:rsidR="0053541B">
              <w:rPr>
                <w:rFonts w:ascii="Times New Roman" w:hAnsi="Times New Roman" w:cs="Times New Roman"/>
              </w:rPr>
              <w:t xml:space="preserve">, muudetakse </w:t>
            </w:r>
            <w:r w:rsidR="004D5B1A" w:rsidRPr="004D5B1A">
              <w:rPr>
                <w:rFonts w:ascii="Times New Roman" w:hAnsi="Times New Roman" w:cs="Times New Roman"/>
              </w:rPr>
              <w:t>§ 8</w:t>
            </w:r>
            <w:r w:rsidR="009C3564" w:rsidRPr="4A99123C">
              <w:rPr>
                <w:rFonts w:ascii="Times New Roman" w:hAnsi="Times New Roman" w:cs="Times New Roman"/>
                <w:noProof/>
              </w:rPr>
              <w:t xml:space="preserve"> lõike 4</w:t>
            </w:r>
            <w:r w:rsidR="009C3564">
              <w:rPr>
                <w:rFonts w:ascii="Times New Roman" w:hAnsi="Times New Roman" w:cs="Times New Roman"/>
                <w:noProof/>
                <w:vertAlign w:val="superscript"/>
              </w:rPr>
              <w:t>8</w:t>
            </w:r>
            <w:r w:rsidR="009C3564" w:rsidRPr="4A99123C">
              <w:rPr>
                <w:rFonts w:ascii="Times New Roman" w:hAnsi="Times New Roman" w:cs="Times New Roman"/>
                <w:noProof/>
              </w:rPr>
              <w:t xml:space="preserve"> punkti 3 </w:t>
            </w:r>
            <w:r w:rsidR="009C3564">
              <w:rPr>
                <w:rFonts w:ascii="Times New Roman" w:hAnsi="Times New Roman" w:cs="Times New Roman"/>
                <w:noProof/>
              </w:rPr>
              <w:t xml:space="preserve">ja </w:t>
            </w:r>
            <w:r w:rsidR="004D5B1A" w:rsidRPr="004D5B1A">
              <w:rPr>
                <w:rFonts w:ascii="Times New Roman" w:hAnsi="Times New Roman" w:cs="Times New Roman"/>
              </w:rPr>
              <w:t xml:space="preserve"> lõike 4</w:t>
            </w:r>
            <w:r w:rsidR="004D5B1A" w:rsidRPr="004D5B1A">
              <w:rPr>
                <w:rFonts w:ascii="Times New Roman" w:hAnsi="Times New Roman" w:cs="Times New Roman"/>
                <w:vertAlign w:val="superscript"/>
              </w:rPr>
              <w:t>9</w:t>
            </w:r>
            <w:r w:rsidR="004D5B1A" w:rsidRPr="004D5B1A">
              <w:rPr>
                <w:rFonts w:ascii="Times New Roman" w:hAnsi="Times New Roman" w:cs="Times New Roman"/>
              </w:rPr>
              <w:t> punkti 2</w:t>
            </w:r>
            <w:r w:rsidR="004D5B1A">
              <w:rPr>
                <w:rFonts w:ascii="Times New Roman" w:hAnsi="Times New Roman" w:cs="Times New Roman"/>
              </w:rPr>
              <w:t xml:space="preserve">, millega </w:t>
            </w:r>
            <w:r w:rsidR="0053541B" w:rsidRPr="0053541B">
              <w:rPr>
                <w:rFonts w:ascii="Times New Roman" w:hAnsi="Times New Roman" w:cs="Times New Roman"/>
              </w:rPr>
              <w:t xml:space="preserve">nähakse ette kohustus esitada </w:t>
            </w:r>
            <w:r w:rsidR="0053541B">
              <w:rPr>
                <w:rFonts w:ascii="Times New Roman" w:hAnsi="Times New Roman" w:cs="Times New Roman"/>
              </w:rPr>
              <w:t xml:space="preserve">perearsti </w:t>
            </w:r>
            <w:r w:rsidR="0053541B" w:rsidRPr="0053541B">
              <w:rPr>
                <w:rFonts w:ascii="Times New Roman" w:hAnsi="Times New Roman" w:cs="Times New Roman"/>
              </w:rPr>
              <w:t>tavapärased kontaktvastuvõtuajad, mitte iga üksikut ajutist muudatust.</w:t>
            </w:r>
          </w:p>
        </w:tc>
      </w:tr>
      <w:tr w:rsidR="001D3E9C" w:rsidRPr="00E84545" w14:paraId="1A9EB981" w14:textId="77777777" w:rsidTr="32D382CF">
        <w:tc>
          <w:tcPr>
            <w:tcW w:w="13994" w:type="dxa"/>
            <w:gridSpan w:val="2"/>
          </w:tcPr>
          <w:p w14:paraId="7AE76871" w14:textId="108B8F0A" w:rsidR="001D3E9C" w:rsidRPr="00E84545" w:rsidRDefault="001D3E9C" w:rsidP="00EB2F88">
            <w:pPr>
              <w:jc w:val="center"/>
              <w:rPr>
                <w:rFonts w:ascii="Times New Roman" w:hAnsi="Times New Roman" w:cs="Times New Roman"/>
                <w:b/>
                <w:bCs/>
              </w:rPr>
            </w:pPr>
            <w:r w:rsidRPr="00E84545">
              <w:rPr>
                <w:rFonts w:ascii="Times New Roman" w:hAnsi="Times New Roman" w:cs="Times New Roman"/>
                <w:b/>
                <w:bCs/>
              </w:rPr>
              <w:t>Eesti Esmatasandi Tervisekeskuste Liit</w:t>
            </w:r>
          </w:p>
        </w:tc>
      </w:tr>
      <w:tr w:rsidR="007C4B4E" w:rsidRPr="00E84545" w14:paraId="0038465A" w14:textId="77777777" w:rsidTr="32D382CF">
        <w:tc>
          <w:tcPr>
            <w:tcW w:w="8075" w:type="dxa"/>
          </w:tcPr>
          <w:p w14:paraId="452F436E" w14:textId="5BEB3C70" w:rsidR="007C4B4E" w:rsidRPr="00E84545" w:rsidRDefault="007C4B4E" w:rsidP="00EB2F88">
            <w:pPr>
              <w:jc w:val="center"/>
              <w:rPr>
                <w:rFonts w:ascii="Times New Roman" w:hAnsi="Times New Roman" w:cs="Times New Roman"/>
              </w:rPr>
            </w:pPr>
            <w:r w:rsidRPr="00E84545">
              <w:rPr>
                <w:rFonts w:ascii="Times New Roman" w:hAnsi="Times New Roman" w:cs="Times New Roman"/>
                <w:b/>
                <w:bCs/>
              </w:rPr>
              <w:t>Märkused/ettepanekud</w:t>
            </w:r>
          </w:p>
        </w:tc>
        <w:tc>
          <w:tcPr>
            <w:tcW w:w="5919" w:type="dxa"/>
          </w:tcPr>
          <w:p w14:paraId="413A9A25" w14:textId="6A7A8B99" w:rsidR="007C4B4E" w:rsidRPr="00E84545" w:rsidRDefault="007C4B4E" w:rsidP="00EB2F88">
            <w:pPr>
              <w:jc w:val="center"/>
              <w:rPr>
                <w:rFonts w:ascii="Times New Roman" w:hAnsi="Times New Roman" w:cs="Times New Roman"/>
              </w:rPr>
            </w:pPr>
            <w:r w:rsidRPr="00E84545">
              <w:rPr>
                <w:rFonts w:ascii="Times New Roman" w:hAnsi="Times New Roman" w:cs="Times New Roman"/>
                <w:b/>
                <w:bCs/>
              </w:rPr>
              <w:t>Seisukoht/Selgitus</w:t>
            </w:r>
          </w:p>
        </w:tc>
      </w:tr>
      <w:tr w:rsidR="008D27D6" w:rsidRPr="00E84545" w14:paraId="494C1BA0" w14:textId="77777777" w:rsidTr="32D382CF">
        <w:tc>
          <w:tcPr>
            <w:tcW w:w="8075" w:type="dxa"/>
          </w:tcPr>
          <w:p w14:paraId="418E1EC9" w14:textId="327AFFC9" w:rsidR="008D27D6" w:rsidRPr="00E84545" w:rsidRDefault="008D27D6" w:rsidP="008D27D6">
            <w:pPr>
              <w:rPr>
                <w:rFonts w:ascii="Times New Roman" w:hAnsi="Times New Roman" w:cs="Times New Roman"/>
                <w:color w:val="000000"/>
              </w:rPr>
            </w:pPr>
            <w:r w:rsidRPr="00E84545">
              <w:rPr>
                <w:rFonts w:ascii="Times New Roman" w:hAnsi="Times New Roman" w:cs="Times New Roman"/>
                <w:color w:val="000000"/>
              </w:rPr>
              <w:t xml:space="preserve">Toetame põhimõtet, et pikaajalise asenduse korral peab säilima paindlikkus perearstiabi korraldamisel, eriti väljaspool suuremaid linnu. Tervisekeskusel peab olema võimalus reguleerida arsti ja õe kontaktvastuvõttude mahtu vastavalt piirkondlikule vajadusele ning kokkuleppele Tervisekassaga. Leiame, et 2400-4500 patsiendiga nimistute puhul võiks kaaluda ühe vastutava perearsti olemasolu lisaks muu kvalifikatsiooniga arstidele. </w:t>
            </w:r>
          </w:p>
          <w:p w14:paraId="36E9D23F" w14:textId="4A8D4671" w:rsidR="008D27D6" w:rsidRDefault="00644D3D" w:rsidP="008D27D6">
            <w:pPr>
              <w:rPr>
                <w:rFonts w:ascii="Times New Roman" w:hAnsi="Times New Roman" w:cs="Times New Roman"/>
              </w:rPr>
            </w:pPr>
            <w:r>
              <w:rPr>
                <w:rFonts w:ascii="Times New Roman" w:hAnsi="Times New Roman" w:cs="Times New Roman"/>
              </w:rPr>
              <w:t>/…/</w:t>
            </w:r>
          </w:p>
          <w:p w14:paraId="4270708F" w14:textId="43338B49" w:rsidR="00644D3D" w:rsidRPr="00E84545" w:rsidRDefault="00644D3D" w:rsidP="008D27D6">
            <w:pPr>
              <w:rPr>
                <w:rFonts w:ascii="Times New Roman" w:hAnsi="Times New Roman" w:cs="Times New Roman"/>
              </w:rPr>
            </w:pPr>
            <w:r w:rsidRPr="007D181F">
              <w:rPr>
                <w:rFonts w:ascii="Times New Roman" w:hAnsi="Times New Roman" w:cs="Times New Roman"/>
              </w:rPr>
              <w:t>Ettepaneku 5 puhul peame positiivseks, et kavandatakse piirkondlike probleemide ja tööjõuvajaduse paremat kaardistamist, mis aitab kaasa perearstiteenuse jätkusuutlikule planeerimisele.</w:t>
            </w:r>
          </w:p>
        </w:tc>
        <w:tc>
          <w:tcPr>
            <w:tcW w:w="5919" w:type="dxa"/>
          </w:tcPr>
          <w:p w14:paraId="6B342CE7" w14:textId="7FB1A798" w:rsidR="008D27D6" w:rsidRPr="00E84545" w:rsidRDefault="271B3049" w:rsidP="32D382CF">
            <w:pPr>
              <w:rPr>
                <w:rFonts w:ascii="Times New Roman" w:eastAsia="Arial" w:hAnsi="Times New Roman" w:cs="Times New Roman"/>
              </w:rPr>
            </w:pPr>
            <w:r w:rsidRPr="32D382CF">
              <w:rPr>
                <w:rFonts w:ascii="Times New Roman" w:eastAsia="Times New Roman" w:hAnsi="Times New Roman" w:cs="Times New Roman"/>
                <w:color w:val="000000" w:themeColor="text1"/>
              </w:rPr>
              <w:t>Vajalik luua õiguslik alus riski- ja kriisipiirkondade määramiseks ning piirkondlike meetmete rakendamiseks, mis võimaldavad reageerida piirkondlikele probleemidele paindlikumalt ja toetada perearstiabi jätkusuutlikkust.</w:t>
            </w:r>
          </w:p>
          <w:p w14:paraId="035C9A20" w14:textId="323F7893" w:rsidR="008D27D6" w:rsidRPr="00E84545" w:rsidRDefault="008D27D6" w:rsidP="32D382CF">
            <w:pPr>
              <w:rPr>
                <w:rFonts w:ascii="Times New Roman" w:eastAsia="Times New Roman" w:hAnsi="Times New Roman" w:cs="Times New Roman"/>
                <w:color w:val="000000" w:themeColor="text1"/>
              </w:rPr>
            </w:pPr>
          </w:p>
          <w:p w14:paraId="3B87287D" w14:textId="406803CB" w:rsidR="008D27D6" w:rsidRPr="00E84545" w:rsidRDefault="271B3049" w:rsidP="32D382CF">
            <w:pPr>
              <w:rPr>
                <w:rFonts w:ascii="Times New Roman" w:eastAsia="Arial" w:hAnsi="Times New Roman" w:cs="Times New Roman"/>
              </w:rPr>
            </w:pPr>
            <w:r w:rsidRPr="32D382CF">
              <w:rPr>
                <w:rFonts w:ascii="Times New Roman" w:eastAsia="Arial" w:hAnsi="Times New Roman" w:cs="Times New Roman"/>
              </w:rPr>
              <w:t xml:space="preserve">TTKS § 11 täiendatakse uue lõikega </w:t>
            </w:r>
            <w:r w:rsidR="1792F145" w:rsidRPr="32D382CF">
              <w:rPr>
                <w:rFonts w:ascii="Times New Roman" w:eastAsia="Arial" w:hAnsi="Times New Roman" w:cs="Times New Roman"/>
              </w:rPr>
              <w:t>1</w:t>
            </w:r>
            <w:r w:rsidR="1792F145" w:rsidRPr="32D382CF">
              <w:rPr>
                <w:rFonts w:ascii="Times New Roman" w:eastAsia="Arial" w:hAnsi="Times New Roman" w:cs="Times New Roman"/>
                <w:vertAlign w:val="superscript"/>
              </w:rPr>
              <w:t>2</w:t>
            </w:r>
            <w:r w:rsidRPr="32D382CF">
              <w:rPr>
                <w:rFonts w:ascii="Times New Roman" w:eastAsia="Arial" w:hAnsi="Times New Roman" w:cs="Times New Roman"/>
              </w:rPr>
              <w:t>:</w:t>
            </w:r>
          </w:p>
          <w:p w14:paraId="32F30E5E" w14:textId="77777777" w:rsidR="008D27D6" w:rsidRDefault="00944713" w:rsidP="32D382CF">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w:t>
            </w:r>
            <w:r w:rsidRPr="00944713">
              <w:rPr>
                <w:rFonts w:ascii="Times New Roman" w:eastAsia="Times New Roman" w:hAnsi="Times New Roman" w:cs="Times New Roman"/>
                <w:i/>
                <w:iCs/>
                <w:color w:val="000000" w:themeColor="text1"/>
              </w:rPr>
              <w:t>Perearstiabi regionaalse kättesaadavuse, järjepidevuse ja jätkusuutlikkuse tagamiseks kehtestab valdkonna eest vastutav minister määrusega riski- ja kriisipiirkondade määramise alused ning regionaalselt rakendatavad meetmed ja nende rakendamise tingimused ja korra</w:t>
            </w:r>
            <w:r>
              <w:rPr>
                <w:rFonts w:ascii="Times New Roman" w:eastAsia="Times New Roman" w:hAnsi="Times New Roman" w:cs="Times New Roman"/>
                <w:i/>
                <w:iCs/>
                <w:color w:val="000000" w:themeColor="text1"/>
              </w:rPr>
              <w:t>.“</w:t>
            </w:r>
          </w:p>
          <w:p w14:paraId="6E9AF23E" w14:textId="1841909B" w:rsidR="00944713" w:rsidRPr="00E84545" w:rsidRDefault="00944713" w:rsidP="32D382CF">
            <w:pPr>
              <w:rPr>
                <w:rFonts w:ascii="Times New Roman" w:eastAsia="Times New Roman" w:hAnsi="Times New Roman" w:cs="Times New Roman"/>
                <w:i/>
                <w:iCs/>
              </w:rPr>
            </w:pPr>
          </w:p>
        </w:tc>
      </w:tr>
      <w:tr w:rsidR="008D27D6" w:rsidRPr="00E84545" w14:paraId="1386D5C7" w14:textId="77777777" w:rsidTr="32D382CF">
        <w:tc>
          <w:tcPr>
            <w:tcW w:w="8075" w:type="dxa"/>
          </w:tcPr>
          <w:p w14:paraId="724F9B5B" w14:textId="14352B90" w:rsidR="008D27D6" w:rsidRPr="00E84545" w:rsidRDefault="008D27D6" w:rsidP="008D27D6">
            <w:pPr>
              <w:rPr>
                <w:rFonts w:ascii="Times New Roman" w:hAnsi="Times New Roman" w:cs="Times New Roman"/>
              </w:rPr>
            </w:pPr>
            <w:r w:rsidRPr="002544F6">
              <w:rPr>
                <w:rFonts w:ascii="Times New Roman" w:hAnsi="Times New Roman" w:cs="Times New Roman"/>
              </w:rPr>
              <w:t>Ettepaneku 1 puhul peame vajalikuks selgemalt määratleda PITK-i staatuse taotlemise tingimused. Praegu jääb ebaselgeks, millised on PITK-i ja LÜTK-i sisulised erinevused ning kuidas kavandatavad kriteeriumid aitavad tänaseid tervisekeskuseid tugevdada</w:t>
            </w:r>
            <w:r>
              <w:rPr>
                <w:rFonts w:ascii="Times New Roman" w:hAnsi="Times New Roman" w:cs="Times New Roman"/>
              </w:rPr>
              <w:t>.</w:t>
            </w:r>
          </w:p>
        </w:tc>
        <w:tc>
          <w:tcPr>
            <w:tcW w:w="5919" w:type="dxa"/>
          </w:tcPr>
          <w:p w14:paraId="39448130" w14:textId="5B3598FF" w:rsidR="68714EE7" w:rsidRDefault="68714EE7" w:rsidP="32D382CF">
            <w:pPr>
              <w:rPr>
                <w:rFonts w:ascii="Times New Roman" w:hAnsi="Times New Roman"/>
              </w:rPr>
            </w:pPr>
            <w:r w:rsidRPr="32D382CF">
              <w:rPr>
                <w:rFonts w:ascii="Times New Roman" w:hAnsi="Times New Roman"/>
              </w:rPr>
              <w:t>Seaduse vastuvõtmisel tuleb kehtestatakse uus sotsiaalministri määrus:</w:t>
            </w:r>
          </w:p>
          <w:p w14:paraId="09C7DAD3" w14:textId="5637F925" w:rsidR="68714EE7" w:rsidRDefault="68714EE7" w:rsidP="32D382CF">
            <w:pPr>
              <w:jc w:val="both"/>
              <w:rPr>
                <w:rFonts w:ascii="Times New Roman" w:eastAsia="Aptos" w:hAnsi="Times New Roman" w:cs="Arial"/>
                <w:i/>
                <w:iCs/>
              </w:rPr>
            </w:pPr>
            <w:r w:rsidRPr="32D382CF">
              <w:rPr>
                <w:rFonts w:ascii="Times New Roman" w:eastAsia="Aptos" w:hAnsi="Times New Roman" w:cs="Arial"/>
                <w:i/>
                <w:iCs/>
              </w:rPr>
              <w:t xml:space="preserve">“Riski- ja kriisipiirkondade määramise alused ning regionaalselt rakendatavad meetmed </w:t>
            </w:r>
            <w:r w:rsidRPr="32D382CF">
              <w:rPr>
                <w:rFonts w:ascii="Times New Roman" w:eastAsia="Aptos" w:hAnsi="Times New Roman" w:cs="Arial"/>
                <w:i/>
                <w:iCs/>
                <w:color w:val="000000" w:themeColor="text1"/>
              </w:rPr>
              <w:t>ja nende rakendamise tingimused ja kord</w:t>
            </w:r>
            <w:r w:rsidRPr="32D382CF">
              <w:rPr>
                <w:rFonts w:ascii="Times New Roman" w:eastAsia="Aptos" w:hAnsi="Times New Roman" w:cs="Arial"/>
                <w:i/>
                <w:iCs/>
              </w:rPr>
              <w:t>.”</w:t>
            </w:r>
          </w:p>
          <w:p w14:paraId="569878DE" w14:textId="16434EAC" w:rsidR="32D382CF" w:rsidRDefault="32D382CF" w:rsidP="32D382CF">
            <w:pPr>
              <w:jc w:val="both"/>
              <w:rPr>
                <w:rFonts w:ascii="Times New Roman" w:eastAsia="Aptos" w:hAnsi="Times New Roman" w:cs="Arial"/>
                <w:i/>
                <w:iCs/>
              </w:rPr>
            </w:pPr>
          </w:p>
          <w:p w14:paraId="64153BF8" w14:textId="7BCAE589" w:rsidR="68714EE7" w:rsidRDefault="68714EE7" w:rsidP="32D382CF">
            <w:pPr>
              <w:jc w:val="both"/>
              <w:rPr>
                <w:rFonts w:ascii="Times New Roman" w:hAnsi="Times New Roman"/>
              </w:rPr>
            </w:pPr>
            <w:r w:rsidRPr="32D382CF">
              <w:rPr>
                <w:rFonts w:ascii="Times New Roman" w:hAnsi="Times New Roman"/>
                <w:color w:val="000000" w:themeColor="text1"/>
              </w:rPr>
              <w:t>Nimetatud määruses kirjeldatakse ka laiendatud ülesannetega tervisekeskuse määramise tingimused ja kord.</w:t>
            </w:r>
          </w:p>
          <w:p w14:paraId="7307F675" w14:textId="5399FC1D" w:rsidR="008D27D6" w:rsidRPr="00E84545" w:rsidRDefault="008D27D6" w:rsidP="007A58C1">
            <w:pPr>
              <w:rPr>
                <w:rFonts w:ascii="Times New Roman" w:hAnsi="Times New Roman" w:cs="Times New Roman"/>
              </w:rPr>
            </w:pPr>
          </w:p>
        </w:tc>
      </w:tr>
      <w:tr w:rsidR="008D27D6" w:rsidRPr="00E84545" w14:paraId="630C3D15" w14:textId="77777777" w:rsidTr="32D382CF">
        <w:tc>
          <w:tcPr>
            <w:tcW w:w="8075" w:type="dxa"/>
          </w:tcPr>
          <w:p w14:paraId="7E3BA67D" w14:textId="77777777" w:rsidR="008D27D6" w:rsidRPr="002544F6" w:rsidRDefault="008D27D6" w:rsidP="008D27D6">
            <w:pPr>
              <w:rPr>
                <w:rFonts w:ascii="Times New Roman" w:hAnsi="Times New Roman" w:cs="Times New Roman"/>
              </w:rPr>
            </w:pPr>
            <w:r w:rsidRPr="002544F6">
              <w:rPr>
                <w:rFonts w:ascii="Times New Roman" w:hAnsi="Times New Roman" w:cs="Times New Roman"/>
              </w:rPr>
              <w:lastRenderedPageBreak/>
              <w:t>"Ettepaneku 3 puhul leiame, et ettepanekus kirjeldatud võimekused on suuresti loodavad alles siis, kui nende täitmiseks on tagatud vajalik rahastus ja ressursid. Seetõttu ei ole realistlik nõuda näiteks ETO võimekust keskuselt, kes alles liigub selle staatuse suunas ega ole seni saanud kasutada vastavate tingimuste täitmiseks vajalikke ressursse. Riigi roll peaks olema luua võimalus teenuseosutajatel kujuneda ja areneda vastavalt lepingus seatud eesmärkidele, mitte eeldada vajalike võimekuste olemasolu juba enne toetavate tingimuste loomist. Samuti peame oluliseks rõhutada, et ETO ei peaks olema eeltingimus PITK-iks saamisel.</w:t>
            </w:r>
          </w:p>
          <w:p w14:paraId="4423C133" w14:textId="067196FE" w:rsidR="008D27D6" w:rsidRPr="00E84545" w:rsidRDefault="008D27D6" w:rsidP="008D27D6">
            <w:pPr>
              <w:rPr>
                <w:rFonts w:ascii="Times New Roman" w:hAnsi="Times New Roman" w:cs="Times New Roman"/>
              </w:rPr>
            </w:pPr>
            <w:r w:rsidRPr="002544F6">
              <w:rPr>
                <w:rFonts w:ascii="Times New Roman" w:hAnsi="Times New Roman" w:cs="Times New Roman"/>
              </w:rPr>
              <w:t>Positiivsena näeme erinevate teenuseosutajate koostöövõimaluste arendamist ühe teenuskoha</w:t>
            </w:r>
            <w:r>
              <w:rPr>
                <w:rFonts w:ascii="Times New Roman" w:hAnsi="Times New Roman" w:cs="Times New Roman"/>
              </w:rPr>
              <w:t xml:space="preserve"> </w:t>
            </w:r>
            <w:r w:rsidRPr="002544F6">
              <w:rPr>
                <w:rFonts w:ascii="Times New Roman" w:hAnsi="Times New Roman" w:cs="Times New Roman"/>
              </w:rPr>
              <w:t>probleemide lahendamisel. Seejuures peab iga laiendatud teenuspunkti või täiendava</w:t>
            </w:r>
            <w:r>
              <w:rPr>
                <w:rFonts w:ascii="Times New Roman" w:hAnsi="Times New Roman" w:cs="Times New Roman"/>
              </w:rPr>
              <w:t xml:space="preserve"> </w:t>
            </w:r>
            <w:r w:rsidRPr="002544F6">
              <w:rPr>
                <w:rFonts w:ascii="Times New Roman" w:hAnsi="Times New Roman" w:cs="Times New Roman"/>
              </w:rPr>
              <w:t>kohustusega kaasnema ka vastav rahastus ja vajalik ressurss."</w:t>
            </w:r>
          </w:p>
        </w:tc>
        <w:tc>
          <w:tcPr>
            <w:tcW w:w="5919" w:type="dxa"/>
          </w:tcPr>
          <w:p w14:paraId="2AB7AA47" w14:textId="097D39E2" w:rsidR="008D27D6" w:rsidRPr="00E84545" w:rsidRDefault="004F6497" w:rsidP="008D27D6">
            <w:pPr>
              <w:rPr>
                <w:rFonts w:ascii="Times New Roman" w:hAnsi="Times New Roman" w:cs="Times New Roman"/>
              </w:rPr>
            </w:pPr>
            <w:r w:rsidRPr="32D382CF">
              <w:rPr>
                <w:rFonts w:ascii="Times New Roman" w:hAnsi="Times New Roman" w:cs="Times New Roman"/>
              </w:rPr>
              <w:t xml:space="preserve">Plaan on reguleerida enne </w:t>
            </w:r>
            <w:r w:rsidR="00032F7B" w:rsidRPr="32D382CF">
              <w:rPr>
                <w:rFonts w:ascii="Times New Roman" w:hAnsi="Times New Roman" w:cs="Times New Roman"/>
              </w:rPr>
              <w:t xml:space="preserve">TTKS-i </w:t>
            </w:r>
            <w:r w:rsidRPr="32D382CF">
              <w:rPr>
                <w:rFonts w:ascii="Times New Roman" w:hAnsi="Times New Roman" w:cs="Times New Roman"/>
              </w:rPr>
              <w:t>õiguslikud alused ja</w:t>
            </w:r>
            <w:r w:rsidR="368D0BC9" w:rsidRPr="32D382CF">
              <w:rPr>
                <w:rFonts w:ascii="Times New Roman" w:hAnsi="Times New Roman" w:cs="Times New Roman"/>
              </w:rPr>
              <w:t xml:space="preserve"> edasi</w:t>
            </w:r>
            <w:r w:rsidRPr="32D382CF">
              <w:rPr>
                <w:rFonts w:ascii="Times New Roman" w:hAnsi="Times New Roman" w:cs="Times New Roman"/>
              </w:rPr>
              <w:t xml:space="preserve"> paralleelselt tegeleda </w:t>
            </w:r>
            <w:r w:rsidR="005B0AA3" w:rsidRPr="32D382CF">
              <w:rPr>
                <w:rFonts w:ascii="Times New Roman" w:hAnsi="Times New Roman" w:cs="Times New Roman"/>
              </w:rPr>
              <w:t>kulumudeli küsimustega.</w:t>
            </w:r>
          </w:p>
        </w:tc>
      </w:tr>
      <w:tr w:rsidR="008D27D6" w:rsidRPr="00E84545" w14:paraId="52F4F33C" w14:textId="77777777" w:rsidTr="32D382CF">
        <w:tc>
          <w:tcPr>
            <w:tcW w:w="8075" w:type="dxa"/>
          </w:tcPr>
          <w:p w14:paraId="718462DE" w14:textId="655EB93D" w:rsidR="008D27D6" w:rsidRPr="00C70B3C" w:rsidRDefault="008D27D6" w:rsidP="008D27D6">
            <w:pPr>
              <w:rPr>
                <w:rFonts w:ascii="Times New Roman" w:hAnsi="Times New Roman" w:cs="Times New Roman"/>
                <w:color w:val="000000"/>
                <w:sz w:val="22"/>
                <w:szCs w:val="22"/>
              </w:rPr>
            </w:pPr>
            <w:r w:rsidRPr="00C70B3C">
              <w:rPr>
                <w:rFonts w:ascii="Times New Roman" w:hAnsi="Times New Roman" w:cs="Times New Roman"/>
                <w:color w:val="000000"/>
              </w:rPr>
              <w:t>Ettepaneku 7 puhul toetame lähenemist, mille kohaselt ei peaks iga tervishoiutöötaja detailsete vastuvõtuaegade avaldamine olema kohustuslik. Kehtiv nõue pärineb ajast, mil eelregistreerimist ei kasutatud ning patsientidel oli vajalik teada konkreetseid vastuvõtuaegu järjekorda minekuks. Tänapäeval on patsiendi jaoks olulisem teada oma vastuvõtuaega ning tervisekeskuse või praksise lahtiolekuaegu. Detailsete graafikute avaldamine ei anna olulist lisandväärtust, kuid tekitab märkimisväärset halduskoormust ja ei arvesta tänapäevase töökorraldusega, kus graafikud võivad muutuda jooksvalt. Mõistlikum oleks nõuda tavapäraste vastuvõtuaegade avaldamist ning tagada patsiendile selge pöördumisteekond ja teenuse kättesaadavus ühtse triaaži alusel.</w:t>
            </w:r>
          </w:p>
        </w:tc>
        <w:tc>
          <w:tcPr>
            <w:tcW w:w="5919" w:type="dxa"/>
          </w:tcPr>
          <w:p w14:paraId="7ED1D568" w14:textId="3B18F92C" w:rsidR="008D27D6" w:rsidRPr="00E84545" w:rsidRDefault="00540A88" w:rsidP="008D27D6">
            <w:pPr>
              <w:rPr>
                <w:rFonts w:ascii="Times New Roman" w:hAnsi="Times New Roman" w:cs="Times New Roman"/>
              </w:rPr>
            </w:pPr>
            <w:r>
              <w:rPr>
                <w:rFonts w:ascii="Times New Roman" w:hAnsi="Times New Roman" w:cs="Times New Roman"/>
              </w:rPr>
              <w:t>Muudetakse TTKS</w:t>
            </w:r>
            <w:r w:rsidR="008D27D6">
              <w:rPr>
                <w:rFonts w:ascii="Times New Roman" w:hAnsi="Times New Roman" w:cs="Times New Roman"/>
              </w:rPr>
              <w:t xml:space="preserve"> </w:t>
            </w:r>
            <w:r w:rsidR="008D27D6" w:rsidRPr="004D5B1A">
              <w:rPr>
                <w:rFonts w:ascii="Times New Roman" w:hAnsi="Times New Roman" w:cs="Times New Roman"/>
              </w:rPr>
              <w:t xml:space="preserve">§ 8 </w:t>
            </w:r>
            <w:r w:rsidR="009C3564">
              <w:rPr>
                <w:rFonts w:ascii="Times New Roman" w:hAnsi="Times New Roman" w:cs="Times New Roman"/>
              </w:rPr>
              <w:t xml:space="preserve">muudetakse </w:t>
            </w:r>
            <w:r w:rsidR="009C3564" w:rsidRPr="4A99123C">
              <w:rPr>
                <w:rFonts w:ascii="Times New Roman" w:hAnsi="Times New Roman" w:cs="Times New Roman"/>
                <w:noProof/>
              </w:rPr>
              <w:t>lõike 4</w:t>
            </w:r>
            <w:r w:rsidR="009C3564">
              <w:rPr>
                <w:rFonts w:ascii="Times New Roman" w:hAnsi="Times New Roman" w:cs="Times New Roman"/>
                <w:noProof/>
                <w:vertAlign w:val="superscript"/>
              </w:rPr>
              <w:t>8</w:t>
            </w:r>
            <w:r w:rsidR="009C3564" w:rsidRPr="4A99123C">
              <w:rPr>
                <w:rFonts w:ascii="Times New Roman" w:hAnsi="Times New Roman" w:cs="Times New Roman"/>
                <w:noProof/>
              </w:rPr>
              <w:t xml:space="preserve"> punkti 3 </w:t>
            </w:r>
            <w:r w:rsidR="009C3564">
              <w:rPr>
                <w:rFonts w:ascii="Times New Roman" w:hAnsi="Times New Roman" w:cs="Times New Roman"/>
                <w:noProof/>
              </w:rPr>
              <w:t xml:space="preserve">ja </w:t>
            </w:r>
            <w:r w:rsidR="009C3564" w:rsidRPr="004D5B1A">
              <w:rPr>
                <w:rFonts w:ascii="Times New Roman" w:hAnsi="Times New Roman" w:cs="Times New Roman"/>
              </w:rPr>
              <w:t xml:space="preserve"> lõike 4</w:t>
            </w:r>
            <w:r w:rsidR="009C3564" w:rsidRPr="004D5B1A">
              <w:rPr>
                <w:rFonts w:ascii="Times New Roman" w:hAnsi="Times New Roman" w:cs="Times New Roman"/>
                <w:vertAlign w:val="superscript"/>
              </w:rPr>
              <w:t>9</w:t>
            </w:r>
            <w:r w:rsidR="009C3564" w:rsidRPr="004D5B1A">
              <w:rPr>
                <w:rFonts w:ascii="Times New Roman" w:hAnsi="Times New Roman" w:cs="Times New Roman"/>
              </w:rPr>
              <w:t> punkti 2</w:t>
            </w:r>
            <w:r w:rsidR="008D27D6">
              <w:rPr>
                <w:rFonts w:ascii="Times New Roman" w:hAnsi="Times New Roman" w:cs="Times New Roman"/>
              </w:rPr>
              <w:t xml:space="preserve">, millega </w:t>
            </w:r>
            <w:r w:rsidR="008D27D6" w:rsidRPr="0053541B">
              <w:rPr>
                <w:rFonts w:ascii="Times New Roman" w:hAnsi="Times New Roman" w:cs="Times New Roman"/>
              </w:rPr>
              <w:t xml:space="preserve">nähakse ette kohustus esitada </w:t>
            </w:r>
            <w:r w:rsidR="008D27D6">
              <w:rPr>
                <w:rFonts w:ascii="Times New Roman" w:hAnsi="Times New Roman" w:cs="Times New Roman"/>
              </w:rPr>
              <w:t xml:space="preserve">perearsti </w:t>
            </w:r>
            <w:r w:rsidR="008D27D6" w:rsidRPr="0053541B">
              <w:rPr>
                <w:rFonts w:ascii="Times New Roman" w:hAnsi="Times New Roman" w:cs="Times New Roman"/>
              </w:rPr>
              <w:t>tavapärased kontaktvastuvõtuajad, mitte iga üksikut ajutist muudatust.</w:t>
            </w:r>
          </w:p>
        </w:tc>
      </w:tr>
      <w:tr w:rsidR="008D27D6" w:rsidRPr="00E84545" w14:paraId="4D785238" w14:textId="77777777" w:rsidTr="32D382CF">
        <w:tc>
          <w:tcPr>
            <w:tcW w:w="13994" w:type="dxa"/>
            <w:gridSpan w:val="2"/>
          </w:tcPr>
          <w:p w14:paraId="1F139643" w14:textId="2B99B028" w:rsidR="008D27D6" w:rsidRPr="00E84545" w:rsidRDefault="008D27D6" w:rsidP="008D27D6">
            <w:pPr>
              <w:jc w:val="center"/>
              <w:rPr>
                <w:rFonts w:ascii="Times New Roman" w:hAnsi="Times New Roman" w:cs="Times New Roman"/>
                <w:color w:val="4EA72E" w:themeColor="accent6"/>
              </w:rPr>
            </w:pPr>
            <w:r w:rsidRPr="00E84545">
              <w:rPr>
                <w:rFonts w:ascii="Times New Roman" w:hAnsi="Times New Roman" w:cs="Times New Roman"/>
                <w:b/>
                <w:bCs/>
              </w:rPr>
              <w:t>Terviseamet</w:t>
            </w:r>
          </w:p>
        </w:tc>
      </w:tr>
      <w:tr w:rsidR="008D27D6" w:rsidRPr="00E84545" w14:paraId="3F5A796D" w14:textId="77777777" w:rsidTr="32D382CF">
        <w:tc>
          <w:tcPr>
            <w:tcW w:w="8075" w:type="dxa"/>
          </w:tcPr>
          <w:p w14:paraId="2E5B878F" w14:textId="31BBC858" w:rsidR="008D27D6" w:rsidRPr="00E84545" w:rsidRDefault="008D27D6" w:rsidP="008D27D6">
            <w:pPr>
              <w:jc w:val="center"/>
              <w:rPr>
                <w:rFonts w:ascii="Times New Roman" w:hAnsi="Times New Roman" w:cs="Times New Roman"/>
              </w:rPr>
            </w:pPr>
            <w:r w:rsidRPr="00E84545">
              <w:rPr>
                <w:rFonts w:ascii="Times New Roman" w:hAnsi="Times New Roman" w:cs="Times New Roman"/>
                <w:b/>
                <w:bCs/>
              </w:rPr>
              <w:t>Märkused/ettepanekud</w:t>
            </w:r>
          </w:p>
        </w:tc>
        <w:tc>
          <w:tcPr>
            <w:tcW w:w="5919" w:type="dxa"/>
          </w:tcPr>
          <w:p w14:paraId="086C5736" w14:textId="0C01A61F" w:rsidR="008D27D6" w:rsidRPr="00E84545" w:rsidRDefault="008D27D6" w:rsidP="008D27D6">
            <w:pPr>
              <w:jc w:val="center"/>
              <w:rPr>
                <w:rFonts w:ascii="Times New Roman" w:hAnsi="Times New Roman" w:cs="Times New Roman"/>
              </w:rPr>
            </w:pPr>
            <w:r w:rsidRPr="00E84545">
              <w:rPr>
                <w:rFonts w:ascii="Times New Roman" w:hAnsi="Times New Roman" w:cs="Times New Roman"/>
                <w:b/>
                <w:bCs/>
              </w:rPr>
              <w:t>Seisukoht/Selgitus</w:t>
            </w:r>
          </w:p>
        </w:tc>
      </w:tr>
      <w:tr w:rsidR="008D27D6" w:rsidRPr="00E84545" w14:paraId="5A658715" w14:textId="77777777" w:rsidTr="32D382CF">
        <w:tc>
          <w:tcPr>
            <w:tcW w:w="8075" w:type="dxa"/>
          </w:tcPr>
          <w:p w14:paraId="4B64CE62" w14:textId="32EB1DD1" w:rsidR="008D27D6" w:rsidRPr="00E84545" w:rsidRDefault="008D27D6" w:rsidP="008D27D6">
            <w:pPr>
              <w:rPr>
                <w:rFonts w:ascii="Times New Roman" w:hAnsi="Times New Roman" w:cs="Times New Roman"/>
              </w:rPr>
            </w:pPr>
            <w:r w:rsidRPr="675D2FC8">
              <w:rPr>
                <w:rFonts w:ascii="Times New Roman" w:hAnsi="Times New Roman" w:cs="Times New Roman"/>
              </w:rPr>
              <w:t>Terviseamet toetab ettepanekut määrata PITK-id konkursi alusel ning kehtestada nende valiku- ja tegutsemispõhimõtted, sh kohustus täita elutähtsa teenuse osutaja rolli. Terviseameti hinnangul on esmatasandi kriisivalmiduse ja toimepidevuse võtmes oluline tagada, et igas maakonnas tegutseks vähemalt üks perearstiabi osutajast elutähtsa teenuse osutaja (ETO).</w:t>
            </w:r>
          </w:p>
        </w:tc>
        <w:tc>
          <w:tcPr>
            <w:tcW w:w="5919" w:type="dxa"/>
          </w:tcPr>
          <w:p w14:paraId="754E5D7D" w14:textId="69C6472A" w:rsidR="008D27D6" w:rsidRPr="00E84545" w:rsidRDefault="0324B642" w:rsidP="32D382CF">
            <w:pPr>
              <w:rPr>
                <w:rFonts w:ascii="Times New Roman" w:hAnsi="Times New Roman" w:cs="Times New Roman"/>
              </w:rPr>
            </w:pPr>
            <w:r w:rsidRPr="32D382CF">
              <w:rPr>
                <w:rFonts w:ascii="Times New Roman" w:hAnsi="Times New Roman" w:cs="Times New Roman"/>
              </w:rPr>
              <w:t>Laiendatud ülesannetega tervisekeskuste (LÜTK)</w:t>
            </w:r>
            <w:r w:rsidR="00A8291D" w:rsidRPr="32D382CF">
              <w:rPr>
                <w:rFonts w:ascii="Times New Roman" w:hAnsi="Times New Roman" w:cs="Times New Roman"/>
              </w:rPr>
              <w:t xml:space="preserve"> rakendamine ja ETO</w:t>
            </w:r>
            <w:r w:rsidR="00677DB9" w:rsidRPr="32D382CF">
              <w:rPr>
                <w:rFonts w:ascii="Times New Roman" w:hAnsi="Times New Roman" w:cs="Times New Roman"/>
              </w:rPr>
              <w:t>-de määramine vajab koostöös</w:t>
            </w:r>
            <w:r w:rsidR="47F63DEC" w:rsidRPr="32D382CF">
              <w:rPr>
                <w:rFonts w:ascii="Times New Roman" w:hAnsi="Times New Roman" w:cs="Times New Roman"/>
              </w:rPr>
              <w:t xml:space="preserve"> sidusrühmadega</w:t>
            </w:r>
            <w:r w:rsidR="00677DB9" w:rsidRPr="32D382CF">
              <w:rPr>
                <w:rFonts w:ascii="Times New Roman" w:hAnsi="Times New Roman" w:cs="Times New Roman"/>
              </w:rPr>
              <w:t xml:space="preserve"> protsesside </w:t>
            </w:r>
            <w:r w:rsidR="00123C6C" w:rsidRPr="32D382CF">
              <w:rPr>
                <w:rFonts w:ascii="Times New Roman" w:hAnsi="Times New Roman" w:cs="Times New Roman"/>
              </w:rPr>
              <w:t>läbiarutamist.</w:t>
            </w:r>
            <w:r w:rsidR="00892957" w:rsidRPr="32D382CF">
              <w:rPr>
                <w:rFonts w:ascii="Times New Roman" w:hAnsi="Times New Roman" w:cs="Times New Roman"/>
              </w:rPr>
              <w:t xml:space="preserve"> </w:t>
            </w:r>
          </w:p>
        </w:tc>
      </w:tr>
      <w:tr w:rsidR="008D27D6" w:rsidRPr="00E84545" w14:paraId="6FA28622" w14:textId="77777777" w:rsidTr="32D382CF">
        <w:tc>
          <w:tcPr>
            <w:tcW w:w="8075" w:type="dxa"/>
          </w:tcPr>
          <w:p w14:paraId="0000D15D" w14:textId="4D89934D" w:rsidR="008D27D6" w:rsidRPr="00E84545" w:rsidRDefault="008D27D6" w:rsidP="008D27D6">
            <w:pPr>
              <w:rPr>
                <w:rFonts w:ascii="Times New Roman" w:hAnsi="Times New Roman" w:cs="Times New Roman"/>
              </w:rPr>
            </w:pPr>
            <w:r w:rsidRPr="00272A2D">
              <w:rPr>
                <w:rFonts w:ascii="Times New Roman" w:hAnsi="Times New Roman" w:cs="Times New Roman"/>
              </w:rPr>
              <w:t xml:space="preserve">Terviseamet toetab alternatiivset ettepanekut nõuda tavapäraste vastuvõtuaegade avaldamist sarnaselt kehtivale regulatsioonile, detailsete graafikute avaldamine ei ole vajalik. Vastuvõtuaegade avaldamise üheks eesmärgiks on võimaldada </w:t>
            </w:r>
            <w:r w:rsidRPr="00272A2D">
              <w:rPr>
                <w:rFonts w:ascii="Times New Roman" w:hAnsi="Times New Roman" w:cs="Times New Roman"/>
              </w:rPr>
              <w:lastRenderedPageBreak/>
              <w:t>Terviseametil ja Tervisekassal ennetavalt sekkuda perearstiabi osutajate ja perearstide nõuetele mittevastavasse tegevusse.</w:t>
            </w:r>
          </w:p>
        </w:tc>
        <w:tc>
          <w:tcPr>
            <w:tcW w:w="5919" w:type="dxa"/>
          </w:tcPr>
          <w:p w14:paraId="3A6C8120" w14:textId="5EFE7F84" w:rsidR="008D27D6" w:rsidRPr="00E84545" w:rsidRDefault="008D27D6" w:rsidP="008D27D6">
            <w:pPr>
              <w:rPr>
                <w:rFonts w:ascii="Times New Roman" w:hAnsi="Times New Roman" w:cs="Times New Roman"/>
              </w:rPr>
            </w:pPr>
            <w:r w:rsidRPr="05742371">
              <w:rPr>
                <w:rFonts w:ascii="Times New Roman" w:hAnsi="Times New Roman" w:cs="Times New Roman"/>
              </w:rPr>
              <w:lastRenderedPageBreak/>
              <w:t>Arvestatud</w:t>
            </w:r>
            <w:r>
              <w:rPr>
                <w:rFonts w:ascii="Times New Roman" w:hAnsi="Times New Roman" w:cs="Times New Roman"/>
              </w:rPr>
              <w:t>, muudetakse</w:t>
            </w:r>
            <w:r w:rsidR="009C3564">
              <w:rPr>
                <w:rFonts w:ascii="Times New Roman" w:hAnsi="Times New Roman" w:cs="Times New Roman"/>
              </w:rPr>
              <w:t xml:space="preserve"> </w:t>
            </w:r>
            <w:r w:rsidR="009C3564" w:rsidRPr="004D5B1A">
              <w:rPr>
                <w:rFonts w:ascii="Times New Roman" w:hAnsi="Times New Roman" w:cs="Times New Roman"/>
              </w:rPr>
              <w:t>§ 8</w:t>
            </w:r>
            <w:r w:rsidR="00944713">
              <w:rPr>
                <w:rFonts w:ascii="Times New Roman" w:hAnsi="Times New Roman" w:cs="Times New Roman"/>
              </w:rPr>
              <w:t xml:space="preserve"> </w:t>
            </w:r>
            <w:r w:rsidR="009C3564" w:rsidRPr="4A99123C">
              <w:rPr>
                <w:rFonts w:ascii="Times New Roman" w:hAnsi="Times New Roman" w:cs="Times New Roman"/>
                <w:noProof/>
              </w:rPr>
              <w:t>lõike 4</w:t>
            </w:r>
            <w:r w:rsidR="009C3564">
              <w:rPr>
                <w:rFonts w:ascii="Times New Roman" w:hAnsi="Times New Roman" w:cs="Times New Roman"/>
                <w:noProof/>
                <w:vertAlign w:val="superscript"/>
              </w:rPr>
              <w:t>8</w:t>
            </w:r>
            <w:r w:rsidR="009C3564" w:rsidRPr="4A99123C">
              <w:rPr>
                <w:rFonts w:ascii="Times New Roman" w:hAnsi="Times New Roman" w:cs="Times New Roman"/>
                <w:noProof/>
              </w:rPr>
              <w:t xml:space="preserve"> punkti 3 </w:t>
            </w:r>
            <w:r w:rsidR="009C3564">
              <w:rPr>
                <w:rFonts w:ascii="Times New Roman" w:hAnsi="Times New Roman" w:cs="Times New Roman"/>
                <w:noProof/>
              </w:rPr>
              <w:t xml:space="preserve">ja </w:t>
            </w:r>
            <w:r w:rsidR="009C3564" w:rsidRPr="004D5B1A">
              <w:rPr>
                <w:rFonts w:ascii="Times New Roman" w:hAnsi="Times New Roman" w:cs="Times New Roman"/>
              </w:rPr>
              <w:t xml:space="preserve"> lõike 4</w:t>
            </w:r>
            <w:r w:rsidR="009C3564" w:rsidRPr="004D5B1A">
              <w:rPr>
                <w:rFonts w:ascii="Times New Roman" w:hAnsi="Times New Roman" w:cs="Times New Roman"/>
                <w:vertAlign w:val="superscript"/>
              </w:rPr>
              <w:t>9</w:t>
            </w:r>
            <w:r w:rsidR="009C3564" w:rsidRPr="004D5B1A">
              <w:rPr>
                <w:rFonts w:ascii="Times New Roman" w:hAnsi="Times New Roman" w:cs="Times New Roman"/>
              </w:rPr>
              <w:t> punkti</w:t>
            </w:r>
            <w:r>
              <w:rPr>
                <w:rFonts w:ascii="Times New Roman" w:hAnsi="Times New Roman" w:cs="Times New Roman"/>
              </w:rPr>
              <w:t xml:space="preserve">, millega </w:t>
            </w:r>
            <w:r w:rsidRPr="0053541B">
              <w:rPr>
                <w:rFonts w:ascii="Times New Roman" w:hAnsi="Times New Roman" w:cs="Times New Roman"/>
              </w:rPr>
              <w:t xml:space="preserve">nähakse ette kohustus esitada </w:t>
            </w:r>
            <w:r>
              <w:rPr>
                <w:rFonts w:ascii="Times New Roman" w:hAnsi="Times New Roman" w:cs="Times New Roman"/>
              </w:rPr>
              <w:t xml:space="preserve">perearsti </w:t>
            </w:r>
            <w:r w:rsidRPr="0053541B">
              <w:rPr>
                <w:rFonts w:ascii="Times New Roman" w:hAnsi="Times New Roman" w:cs="Times New Roman"/>
              </w:rPr>
              <w:lastRenderedPageBreak/>
              <w:t>tavapärased kontaktvastuvõtuajad, mitte iga üksikut ajutist muudatust.</w:t>
            </w:r>
          </w:p>
        </w:tc>
      </w:tr>
      <w:tr w:rsidR="008D27D6" w:rsidRPr="00E84545" w14:paraId="056237C1" w14:textId="77777777" w:rsidTr="32D382CF">
        <w:tc>
          <w:tcPr>
            <w:tcW w:w="13994" w:type="dxa"/>
            <w:gridSpan w:val="2"/>
          </w:tcPr>
          <w:p w14:paraId="4DFD3189" w14:textId="02133664" w:rsidR="008D27D6" w:rsidRPr="00E84545" w:rsidRDefault="008D27D6" w:rsidP="008D27D6">
            <w:pPr>
              <w:jc w:val="center"/>
              <w:rPr>
                <w:rFonts w:ascii="Times New Roman" w:hAnsi="Times New Roman" w:cs="Times New Roman"/>
              </w:rPr>
            </w:pPr>
            <w:r w:rsidRPr="00E84545">
              <w:rPr>
                <w:rFonts w:ascii="Times New Roman" w:hAnsi="Times New Roman" w:cs="Times New Roman"/>
                <w:b/>
                <w:bCs/>
              </w:rPr>
              <w:lastRenderedPageBreak/>
              <w:t>Tervisekassa</w:t>
            </w:r>
          </w:p>
        </w:tc>
      </w:tr>
      <w:tr w:rsidR="008D27D6" w:rsidRPr="00E84545" w14:paraId="686F8227" w14:textId="77777777" w:rsidTr="32D382CF">
        <w:tc>
          <w:tcPr>
            <w:tcW w:w="8075" w:type="dxa"/>
          </w:tcPr>
          <w:p w14:paraId="5B73A0B3" w14:textId="492131B7" w:rsidR="008D27D6" w:rsidRPr="00E84545" w:rsidRDefault="008D27D6" w:rsidP="008D27D6">
            <w:pPr>
              <w:jc w:val="center"/>
              <w:rPr>
                <w:rFonts w:ascii="Times New Roman" w:hAnsi="Times New Roman" w:cs="Times New Roman"/>
              </w:rPr>
            </w:pPr>
            <w:r w:rsidRPr="00E84545">
              <w:rPr>
                <w:rFonts w:ascii="Times New Roman" w:hAnsi="Times New Roman" w:cs="Times New Roman"/>
                <w:b/>
                <w:bCs/>
              </w:rPr>
              <w:t>Märkused/ettepanekud</w:t>
            </w:r>
          </w:p>
        </w:tc>
        <w:tc>
          <w:tcPr>
            <w:tcW w:w="5919" w:type="dxa"/>
          </w:tcPr>
          <w:p w14:paraId="7DE8D63B" w14:textId="197D27A1" w:rsidR="008D27D6" w:rsidRPr="00E84545" w:rsidRDefault="008D27D6" w:rsidP="008D27D6">
            <w:pPr>
              <w:jc w:val="center"/>
              <w:rPr>
                <w:rFonts w:ascii="Times New Roman" w:hAnsi="Times New Roman" w:cs="Times New Roman"/>
              </w:rPr>
            </w:pPr>
            <w:r w:rsidRPr="00E84545">
              <w:rPr>
                <w:rFonts w:ascii="Times New Roman" w:hAnsi="Times New Roman" w:cs="Times New Roman"/>
                <w:b/>
                <w:bCs/>
              </w:rPr>
              <w:t>Seisukoht/Selgitus</w:t>
            </w:r>
          </w:p>
        </w:tc>
      </w:tr>
      <w:tr w:rsidR="008D27D6" w:rsidRPr="00E84545" w14:paraId="3D353476" w14:textId="77777777" w:rsidTr="32D382CF">
        <w:tc>
          <w:tcPr>
            <w:tcW w:w="8075" w:type="dxa"/>
          </w:tcPr>
          <w:p w14:paraId="11DAB180" w14:textId="289A534F" w:rsidR="008D27D6" w:rsidRPr="00E84545" w:rsidRDefault="008D27D6" w:rsidP="008D27D6">
            <w:pPr>
              <w:rPr>
                <w:rFonts w:ascii="Times New Roman" w:hAnsi="Times New Roman" w:cs="Times New Roman"/>
              </w:rPr>
            </w:pPr>
            <w:r w:rsidRPr="00AF2233">
              <w:rPr>
                <w:rFonts w:ascii="Times New Roman" w:hAnsi="Times New Roman" w:cs="Times New Roman"/>
              </w:rPr>
              <w:t>Keeldumise õigus peab kehtima üksnes juhul, kui patsiendil on tegelik võimalus registreeruda teise perearsti nimistusse samas piirkonnas. Sel juhul lasub teenuseosutajal kohustus patsient teise nimistusse suunata.</w:t>
            </w:r>
          </w:p>
        </w:tc>
        <w:tc>
          <w:tcPr>
            <w:tcW w:w="5919" w:type="dxa"/>
          </w:tcPr>
          <w:p w14:paraId="4B5A4ACE" w14:textId="77777777" w:rsidR="008D27D6" w:rsidRPr="00E84545" w:rsidRDefault="008D27D6" w:rsidP="008D27D6">
            <w:pPr>
              <w:rPr>
                <w:rFonts w:ascii="Times New Roman" w:hAnsi="Times New Roman" w:cs="Times New Roman"/>
                <w:color w:val="000000" w:themeColor="text1"/>
              </w:rPr>
            </w:pPr>
            <w:r>
              <w:rPr>
                <w:rFonts w:ascii="Times New Roman" w:hAnsi="Times New Roman" w:cs="Times New Roman"/>
              </w:rPr>
              <w:t xml:space="preserve">Arvestatud, </w:t>
            </w:r>
            <w:r>
              <w:rPr>
                <w:rFonts w:ascii="Times New Roman" w:hAnsi="Times New Roman" w:cs="Times New Roman"/>
                <w:color w:val="000000" w:themeColor="text1"/>
              </w:rPr>
              <w:t>TTKS-i</w:t>
            </w:r>
            <w:r w:rsidRPr="573BE272">
              <w:rPr>
                <w:rFonts w:ascii="Times New Roman" w:hAnsi="Times New Roman" w:cs="Times New Roman"/>
                <w:color w:val="000000" w:themeColor="text1"/>
              </w:rPr>
              <w:t xml:space="preserve"> täiendatakse järgmise sättega (§8 lg </w:t>
            </w:r>
            <w:r w:rsidRPr="573BE272">
              <w:rPr>
                <w:rFonts w:ascii="Times New Roman" w:eastAsia="Times New Roman" w:hAnsi="Times New Roman" w:cs="Times New Roman"/>
              </w:rPr>
              <w:t>3</w:t>
            </w:r>
            <w:r w:rsidRPr="573BE272">
              <w:rPr>
                <w:rFonts w:ascii="Times New Roman" w:eastAsia="Times New Roman" w:hAnsi="Times New Roman" w:cs="Times New Roman"/>
                <w:vertAlign w:val="superscript"/>
              </w:rPr>
              <w:t>3</w:t>
            </w:r>
            <w:r w:rsidRPr="573BE272">
              <w:rPr>
                <w:rFonts w:ascii="Times New Roman" w:eastAsia="Times New Roman" w:hAnsi="Times New Roman" w:cs="Times New Roman"/>
              </w:rPr>
              <w:t>)</w:t>
            </w:r>
            <w:r w:rsidRPr="573BE272">
              <w:rPr>
                <w:rFonts w:ascii="Times New Roman" w:hAnsi="Times New Roman" w:cs="Times New Roman"/>
                <w:color w:val="000000" w:themeColor="text1"/>
              </w:rPr>
              <w:t xml:space="preserve">: </w:t>
            </w:r>
          </w:p>
          <w:p w14:paraId="61F4AFA7" w14:textId="77777777" w:rsidR="008D27D6" w:rsidRPr="00E84545" w:rsidRDefault="008D27D6" w:rsidP="008D27D6">
            <w:pPr>
              <w:rPr>
                <w:rFonts w:ascii="Times New Roman" w:eastAsia="Times New Roman" w:hAnsi="Times New Roman" w:cs="Times New Roman"/>
                <w:i/>
                <w:iCs/>
                <w:color w:val="000000" w:themeColor="text1"/>
              </w:rPr>
            </w:pPr>
            <w:r w:rsidRPr="573BE272">
              <w:rPr>
                <w:rFonts w:ascii="Times New Roman" w:eastAsia="Times New Roman" w:hAnsi="Times New Roman" w:cs="Times New Roman"/>
                <w:i/>
                <w:iCs/>
              </w:rPr>
              <w:t>“Perearst võib keelduda patsiendi registreerimisest nimistusse juhul, kui nimistu suurus ületab 1600 isikut ning patsiendil on samas teeninduspiirkonnas võimalik registreeruda teise perearsti nimistusse, mille suurus ei ületa 1600 isikut. Keeldumise korral annab perearst patsiendile teavet teiste samas teeninduspiirkonnas tegutsevate perearstide nimistute kohta, kuhu patsiendil on võimalik registreeruda</w:t>
            </w:r>
            <w:r w:rsidRPr="573BE272">
              <w:rPr>
                <w:rFonts w:ascii="Times New Roman" w:eastAsia="Times New Roman" w:hAnsi="Times New Roman" w:cs="Times New Roman"/>
                <w:i/>
                <w:iCs/>
                <w:color w:val="000000" w:themeColor="text1"/>
              </w:rPr>
              <w:t>.”</w:t>
            </w:r>
          </w:p>
          <w:p w14:paraId="0DD84755" w14:textId="03038C50" w:rsidR="008D27D6" w:rsidRPr="00E84545" w:rsidRDefault="008D27D6" w:rsidP="008D27D6">
            <w:pPr>
              <w:rPr>
                <w:rFonts w:ascii="Times New Roman" w:hAnsi="Times New Roman" w:cs="Times New Roman"/>
              </w:rPr>
            </w:pPr>
          </w:p>
        </w:tc>
      </w:tr>
      <w:tr w:rsidR="004152F7" w:rsidRPr="00E84545" w14:paraId="0D54B0DD" w14:textId="77777777" w:rsidTr="32D382CF">
        <w:tc>
          <w:tcPr>
            <w:tcW w:w="8075" w:type="dxa"/>
          </w:tcPr>
          <w:p w14:paraId="72C08C63" w14:textId="0F66DAD3" w:rsidR="004152F7" w:rsidRPr="00AF2233" w:rsidRDefault="004152F7" w:rsidP="004152F7">
            <w:pPr>
              <w:rPr>
                <w:rFonts w:ascii="Times New Roman" w:hAnsi="Times New Roman" w:cs="Times New Roman"/>
              </w:rPr>
            </w:pPr>
            <w:r w:rsidRPr="00AF2233">
              <w:rPr>
                <w:rFonts w:ascii="Times New Roman" w:hAnsi="Times New Roman" w:cs="Times New Roman"/>
              </w:rPr>
              <w:t xml:space="preserve">Ajutine asendus ja perearstita jäänud nimistu on kaks olemuslikult erinevad ning vajavad erisuguseid lahendusi. Enne detailse seaduse kehtestamist tuleb kokku leppida ühistes põhimõtetes. Eelkõige tuleb üheselt määratleda, kes kannab asendusvastutust, sest praeguses praktikas peab vastutus olema seotud konkreetse perearstiga, mitte hajutatud teenuseosutaja tasandile. Ühtlasi tuleb arvestada, et kõigis piirkondades ei pruugi perearst asendajat leida. Tervisekassa hinnangul peaks seadus nägema ette võimaluse kaasata haigla ajutise asendajana erandkorras, kui kõik muud lahendused on ammendunud. See peaks jääma viimaseks võimaluseks, kuid selle kasutamise tingimused tuleks seaduses selgelt sätestada. Ettepanekus nähakse ette koostöö teiste perearstide ja tervisekeskustega. Ebaselgeks jääb aga, milline on kohustuslik lahendus juhul, kui need osapooled asendust pakkuda ei soovi. Seetõttu tuleb üheselt määratleda vastutusahel ja riigi sekkumise mehhanismid juhtudeks, kus koostööl põhinev mudel praktikas ei toimi. Konkreetsemalt tuleb määratleda rollijaotus Terviseameti ja Tervisekassa vahel. Kuigi praegu teavitatakse pikaajalise asenduse korral Terviseametit, on Tervisekassa peamine probleem seotud lühiajaliste asendustega, mille lahendamisega tegeletakse praktikas operatiivselt, </w:t>
            </w:r>
            <w:r w:rsidRPr="00AF2233">
              <w:rPr>
                <w:rFonts w:ascii="Times New Roman" w:hAnsi="Times New Roman" w:cs="Times New Roman"/>
              </w:rPr>
              <w:lastRenderedPageBreak/>
              <w:t xml:space="preserve">vajadusel kaasates erialaseltsi. Seetõttu on oluline määratleda, millal ja millistel alustel Terviseamet sekkub ning milline on tema roll lühiajaliste asenduste puhul. Toetame teenuse katkestuse lubatud perioodi lühendamist. Toetame ettepanekut suurendada asendussüsteemi läbipaistvust, sealhulgas avaldada info asenduse </w:t>
            </w:r>
          </w:p>
          <w:p w14:paraId="1F2AA9BA" w14:textId="5FD6B35D" w:rsidR="004152F7" w:rsidRPr="00E84545" w:rsidRDefault="004152F7" w:rsidP="004152F7">
            <w:pPr>
              <w:rPr>
                <w:rFonts w:ascii="Times New Roman" w:hAnsi="Times New Roman" w:cs="Times New Roman"/>
              </w:rPr>
            </w:pPr>
            <w:r w:rsidRPr="00AF2233">
              <w:rPr>
                <w:rFonts w:ascii="Times New Roman" w:hAnsi="Times New Roman" w:cs="Times New Roman"/>
              </w:rPr>
              <w:t>koostöökokkulepete kohta. Tervisekassa on valmis seda lahendust toetama asjakohaste andmete ja statistikaga. Seejuures on oluline tagada täpne rollijaotus selles, millises ulatuses Terviseamet järelevalve eest vastutab ning kuidas Tervisekassa toetab süsteemi andmete ja lepingulise vaatega. Eraldi küsimus on,  kuidas suhestub Terviseameti järelevalve Tervisekassa tööjuhendiga ning millised on Terviseameti tegevused juhul, kui sätestatut ei järgita. Järelevalve peaks olema võimalikult automatiseeritud, et vähendada halduskoormust ja tagada ühtlane sekkumine."</w:t>
            </w:r>
          </w:p>
        </w:tc>
        <w:tc>
          <w:tcPr>
            <w:tcW w:w="5919" w:type="dxa"/>
          </w:tcPr>
          <w:p w14:paraId="5FD51600" w14:textId="7FB1A798" w:rsidR="004152F7" w:rsidRPr="00E84545" w:rsidRDefault="5AF480BB" w:rsidP="32D382CF">
            <w:pPr>
              <w:rPr>
                <w:rFonts w:ascii="Times New Roman" w:eastAsia="Arial" w:hAnsi="Times New Roman" w:cs="Times New Roman"/>
              </w:rPr>
            </w:pPr>
            <w:r w:rsidRPr="32D382CF">
              <w:rPr>
                <w:rFonts w:ascii="Times New Roman" w:eastAsia="Times New Roman" w:hAnsi="Times New Roman" w:cs="Times New Roman"/>
                <w:color w:val="000000" w:themeColor="text1"/>
              </w:rPr>
              <w:lastRenderedPageBreak/>
              <w:t>Vajalik luua õiguslik alus riski- ja kriisipiirkondade määramiseks ning piirkondlike meetmete rakendamiseks, mis võimaldavad reageerida piirkondlikele probleemidele paindlikumalt ja toetada perearstiabi jätkusuutlikkust.</w:t>
            </w:r>
          </w:p>
          <w:p w14:paraId="77658658" w14:textId="323F7893" w:rsidR="004152F7" w:rsidRPr="00E84545" w:rsidRDefault="004152F7" w:rsidP="32D382CF">
            <w:pPr>
              <w:rPr>
                <w:rFonts w:ascii="Times New Roman" w:eastAsia="Times New Roman" w:hAnsi="Times New Roman" w:cs="Times New Roman"/>
                <w:color w:val="000000" w:themeColor="text1"/>
              </w:rPr>
            </w:pPr>
          </w:p>
          <w:p w14:paraId="0E0C4205" w14:textId="5DCD4EEC" w:rsidR="004152F7" w:rsidRPr="00E84545" w:rsidRDefault="5AF480BB" w:rsidP="32D382CF">
            <w:pPr>
              <w:rPr>
                <w:rFonts w:ascii="Times New Roman" w:eastAsia="Arial" w:hAnsi="Times New Roman" w:cs="Times New Roman"/>
              </w:rPr>
            </w:pPr>
            <w:r w:rsidRPr="32D382CF">
              <w:rPr>
                <w:rFonts w:ascii="Times New Roman" w:eastAsia="Arial" w:hAnsi="Times New Roman" w:cs="Times New Roman"/>
              </w:rPr>
              <w:t xml:space="preserve">TTKS § 11 täiendatakse uue lõikega </w:t>
            </w:r>
            <w:r w:rsidR="08E961F7" w:rsidRPr="32D382CF">
              <w:rPr>
                <w:rFonts w:ascii="Times New Roman" w:eastAsia="Arial" w:hAnsi="Times New Roman" w:cs="Times New Roman"/>
              </w:rPr>
              <w:t>1</w:t>
            </w:r>
            <w:r w:rsidR="08E961F7" w:rsidRPr="32D382CF">
              <w:rPr>
                <w:rFonts w:ascii="Times New Roman" w:eastAsia="Arial" w:hAnsi="Times New Roman" w:cs="Times New Roman"/>
                <w:vertAlign w:val="superscript"/>
              </w:rPr>
              <w:t>2</w:t>
            </w:r>
            <w:r w:rsidRPr="32D382CF">
              <w:rPr>
                <w:rFonts w:ascii="Times New Roman" w:eastAsia="Arial" w:hAnsi="Times New Roman" w:cs="Times New Roman"/>
              </w:rPr>
              <w:t>:</w:t>
            </w:r>
          </w:p>
          <w:p w14:paraId="42BDFB0B" w14:textId="1D5B5937" w:rsidR="004152F7" w:rsidRPr="00E84545" w:rsidRDefault="00944713" w:rsidP="32D382CF">
            <w:pPr>
              <w:rPr>
                <w:rFonts w:ascii="Times New Roman" w:eastAsia="Times New Roman" w:hAnsi="Times New Roman" w:cs="Times New Roman"/>
              </w:rPr>
            </w:pPr>
            <w:r>
              <w:rPr>
                <w:rFonts w:ascii="Times New Roman" w:eastAsia="Times New Roman" w:hAnsi="Times New Roman" w:cs="Times New Roman"/>
                <w:i/>
                <w:iCs/>
                <w:color w:val="000000" w:themeColor="text1"/>
              </w:rPr>
              <w:t>„</w:t>
            </w:r>
            <w:r w:rsidRPr="00944713">
              <w:rPr>
                <w:rFonts w:ascii="Times New Roman" w:eastAsia="Times New Roman" w:hAnsi="Times New Roman" w:cs="Times New Roman"/>
                <w:i/>
                <w:iCs/>
                <w:color w:val="000000" w:themeColor="text1"/>
              </w:rPr>
              <w:t>Perearstiabi regionaalse kättesaadavuse, järjepidevuse ja jätkusuutlikkuse tagamiseks kehtestab valdkonna eest vastutav minister määrusega riski- ja kriisipiirkondade määramise alused ning regionaalselt rakendatavad meetmed ja nende rakendamise tingimused ja korra.“</w:t>
            </w:r>
          </w:p>
        </w:tc>
      </w:tr>
      <w:tr w:rsidR="004152F7" w:rsidRPr="00E84545" w14:paraId="33640799" w14:textId="77777777" w:rsidTr="32D382CF">
        <w:tc>
          <w:tcPr>
            <w:tcW w:w="8075" w:type="dxa"/>
          </w:tcPr>
          <w:p w14:paraId="3CDA4B41" w14:textId="4A48DFEC" w:rsidR="004152F7" w:rsidRPr="00E84545" w:rsidRDefault="004152F7" w:rsidP="004152F7">
            <w:pPr>
              <w:rPr>
                <w:rFonts w:ascii="Times New Roman" w:hAnsi="Times New Roman" w:cs="Times New Roman"/>
              </w:rPr>
            </w:pPr>
            <w:r w:rsidRPr="00371526">
              <w:rPr>
                <w:rFonts w:ascii="Times New Roman" w:hAnsi="Times New Roman" w:cs="Times New Roman"/>
              </w:rPr>
              <w:t>Tervisekassa toetab strateegilise plaani loomist perearstiabi kättesaadavuse tagamiseks, kuna see on oluline piirkondlike vajaduste terviklikuks hindamiseks ja süsteemi pikaajaliseks kujundamiseks. Strateegilise plaani kehtestamine ei peaks aga automaatselt kaasa tooma PITK-ide loomist. Enne uue struktuuri kasutuselevõttu tuleb hinnata selle tegelikku mõju ja kaaluda olemasolevate lahenduste paremat kasutamist. Vastuseta jääb, millist konkreetset probleemi PITK lahendab ning mille poolest see erineb senistest toimivatest korraldusmudelitest. Ettepaneku peamine lisandväärtus seisneb üksikpraksistele asendusteenuse pakkumises, kuid mitmed kirjeldatud ülesanded (asenduste korraldamine, tööväline teenus, tugiteenused) on juba täna kehtivas süsteemis võimalikud ega eelda uue institutsionaalse kihi loomist. Ilma otsese lisandväärtuseta kaasneb risk, et luuakse täiendav juhtimis- ja haldustasand, mis suurendab keerukust ja kulukust. Eriti oluline on arvestada, et paralleelselt on käimas tervishoiu ja sotsiaalvaldkonna integratsiooni reform, mille mõjud ei ole veel hinnatud, mistõttu uue struktuuri loomisega ei ole mõistlik kiirustada. Rahastajana on keeruline ideed toetada, kuna ülesanded ja ulatus ei ole piisavalt selged. Kavandatud ülesanded eeldavad täiendavaid ressursse, kuid ei ole aru saada, millises mahus neid rahastatakse ning kuidas vältida dubleerimist olemasolevate rahastusmehhanismidega. Kokkuvõttes leiame, et PITK-i kontseptsioon praegusel kujul ei ole küps rakendamiseks.</w:t>
            </w:r>
          </w:p>
        </w:tc>
        <w:tc>
          <w:tcPr>
            <w:tcW w:w="5919" w:type="dxa"/>
          </w:tcPr>
          <w:p w14:paraId="17ADA9CF" w14:textId="7FB1A798" w:rsidR="004152F7" w:rsidRPr="00E84545" w:rsidRDefault="220F85BD" w:rsidP="32D382CF">
            <w:pPr>
              <w:rPr>
                <w:rFonts w:ascii="Times New Roman" w:eastAsia="Arial" w:hAnsi="Times New Roman" w:cs="Times New Roman"/>
              </w:rPr>
            </w:pPr>
            <w:r w:rsidRPr="32D382CF">
              <w:rPr>
                <w:rFonts w:ascii="Times New Roman" w:eastAsia="Times New Roman" w:hAnsi="Times New Roman" w:cs="Times New Roman"/>
                <w:color w:val="000000" w:themeColor="text1"/>
              </w:rPr>
              <w:t>Vajalik luua õiguslik alus riski- ja kriisipiirkondade määramiseks ning piirkondlike meetmete rakendamiseks, mis võimaldavad reageerida piirkondlikele probleemidele paindlikumalt ja toetada perearstiabi jätkusuutlikkust.</w:t>
            </w:r>
          </w:p>
          <w:p w14:paraId="08486B4B" w14:textId="323F7893" w:rsidR="004152F7" w:rsidRPr="00E84545" w:rsidRDefault="004152F7" w:rsidP="32D382CF">
            <w:pPr>
              <w:rPr>
                <w:rFonts w:ascii="Times New Roman" w:eastAsia="Times New Roman" w:hAnsi="Times New Roman" w:cs="Times New Roman"/>
                <w:color w:val="000000" w:themeColor="text1"/>
              </w:rPr>
            </w:pPr>
          </w:p>
          <w:p w14:paraId="72907906" w14:textId="1F800FB5" w:rsidR="004152F7" w:rsidRPr="00E84545" w:rsidRDefault="220F85BD" w:rsidP="32D382CF">
            <w:pPr>
              <w:rPr>
                <w:rFonts w:ascii="Times New Roman" w:eastAsia="Arial" w:hAnsi="Times New Roman" w:cs="Times New Roman"/>
              </w:rPr>
            </w:pPr>
            <w:r w:rsidRPr="32D382CF">
              <w:rPr>
                <w:rFonts w:ascii="Times New Roman" w:eastAsia="Arial" w:hAnsi="Times New Roman" w:cs="Times New Roman"/>
              </w:rPr>
              <w:t>TTKS § 11 täiendatakse uue lõikega</w:t>
            </w:r>
            <w:r w:rsidR="7E6B26E2" w:rsidRPr="32D382CF">
              <w:rPr>
                <w:rFonts w:ascii="Times New Roman" w:eastAsia="Arial" w:hAnsi="Times New Roman" w:cs="Times New Roman"/>
              </w:rPr>
              <w:t xml:space="preserve"> 1</w:t>
            </w:r>
            <w:r w:rsidR="7E6B26E2" w:rsidRPr="32D382CF">
              <w:rPr>
                <w:rFonts w:ascii="Times New Roman" w:eastAsia="Arial" w:hAnsi="Times New Roman" w:cs="Times New Roman"/>
                <w:vertAlign w:val="superscript"/>
              </w:rPr>
              <w:t>2</w:t>
            </w:r>
            <w:r w:rsidRPr="32D382CF">
              <w:rPr>
                <w:rFonts w:ascii="Times New Roman" w:eastAsia="Arial" w:hAnsi="Times New Roman" w:cs="Times New Roman"/>
              </w:rPr>
              <w:t>:</w:t>
            </w:r>
          </w:p>
          <w:p w14:paraId="1D85DC60" w14:textId="6E2A9C34" w:rsidR="004152F7" w:rsidRPr="00E84545" w:rsidRDefault="00944713" w:rsidP="32D382CF">
            <w:pPr>
              <w:rPr>
                <w:rFonts w:ascii="Times New Roman" w:eastAsia="Times New Roman" w:hAnsi="Times New Roman" w:cs="Times New Roman"/>
              </w:rPr>
            </w:pPr>
            <w:r>
              <w:rPr>
                <w:rFonts w:ascii="Times New Roman" w:eastAsia="Times New Roman" w:hAnsi="Times New Roman" w:cs="Times New Roman"/>
                <w:i/>
                <w:iCs/>
                <w:color w:val="000000" w:themeColor="text1"/>
              </w:rPr>
              <w:t>„</w:t>
            </w:r>
            <w:r w:rsidRPr="00944713">
              <w:rPr>
                <w:rFonts w:ascii="Times New Roman" w:eastAsia="Times New Roman" w:hAnsi="Times New Roman" w:cs="Times New Roman"/>
                <w:i/>
                <w:iCs/>
                <w:color w:val="000000" w:themeColor="text1"/>
              </w:rPr>
              <w:t>Perearstiabi regionaalse kättesaadavuse, järjepidevuse ja jätkusuutlikkuse tagamiseks kehtestab valdkonna eest vastutav minister määrusega riski- ja kriisipiirkondade määramise alused ning regionaalselt rakendatavad meetmed ja nende rakendamise tingimused ja korra.“</w:t>
            </w:r>
          </w:p>
        </w:tc>
      </w:tr>
      <w:tr w:rsidR="004152F7" w:rsidRPr="00E84545" w14:paraId="525E062F" w14:textId="77777777" w:rsidTr="32D382CF">
        <w:trPr>
          <w:trHeight w:val="274"/>
        </w:trPr>
        <w:tc>
          <w:tcPr>
            <w:tcW w:w="13994" w:type="dxa"/>
            <w:gridSpan w:val="2"/>
          </w:tcPr>
          <w:p w14:paraId="5CD0D3E6" w14:textId="5B34DFAF" w:rsidR="004152F7" w:rsidRPr="00E84545" w:rsidRDefault="004152F7" w:rsidP="004152F7">
            <w:pPr>
              <w:jc w:val="center"/>
              <w:rPr>
                <w:rFonts w:ascii="Times New Roman" w:hAnsi="Times New Roman" w:cs="Times New Roman"/>
                <w:b/>
                <w:bCs/>
              </w:rPr>
            </w:pPr>
            <w:r w:rsidRPr="00E84545">
              <w:rPr>
                <w:rFonts w:ascii="Times New Roman" w:hAnsi="Times New Roman" w:cs="Times New Roman"/>
                <w:b/>
                <w:bCs/>
              </w:rPr>
              <w:lastRenderedPageBreak/>
              <w:t>Eesti Puuetega Inimeste Koda</w:t>
            </w:r>
          </w:p>
        </w:tc>
      </w:tr>
      <w:tr w:rsidR="004152F7" w:rsidRPr="00E84545" w14:paraId="16D05386" w14:textId="77777777" w:rsidTr="32D382CF">
        <w:tc>
          <w:tcPr>
            <w:tcW w:w="8075" w:type="dxa"/>
          </w:tcPr>
          <w:p w14:paraId="709B9F50" w14:textId="623B854E" w:rsidR="004152F7" w:rsidRPr="00E84545" w:rsidRDefault="004152F7" w:rsidP="004152F7">
            <w:pPr>
              <w:jc w:val="center"/>
              <w:rPr>
                <w:rFonts w:ascii="Times New Roman" w:hAnsi="Times New Roman" w:cs="Times New Roman"/>
              </w:rPr>
            </w:pPr>
            <w:r w:rsidRPr="00E84545">
              <w:rPr>
                <w:rFonts w:ascii="Times New Roman" w:hAnsi="Times New Roman" w:cs="Times New Roman"/>
                <w:b/>
                <w:bCs/>
              </w:rPr>
              <w:t>Märkused/ettepanekud</w:t>
            </w:r>
          </w:p>
        </w:tc>
        <w:tc>
          <w:tcPr>
            <w:tcW w:w="5919" w:type="dxa"/>
          </w:tcPr>
          <w:p w14:paraId="1D3BB660" w14:textId="2075EE95" w:rsidR="004152F7" w:rsidRPr="00E84545" w:rsidRDefault="004152F7" w:rsidP="004152F7">
            <w:pPr>
              <w:jc w:val="center"/>
              <w:rPr>
                <w:rFonts w:ascii="Times New Roman" w:hAnsi="Times New Roman" w:cs="Times New Roman"/>
                <w:color w:val="FF0000"/>
              </w:rPr>
            </w:pPr>
            <w:r w:rsidRPr="00E84545">
              <w:rPr>
                <w:rFonts w:ascii="Times New Roman" w:hAnsi="Times New Roman" w:cs="Times New Roman"/>
                <w:b/>
                <w:bCs/>
              </w:rPr>
              <w:t>Seisukoht/Selgitus</w:t>
            </w:r>
          </w:p>
        </w:tc>
      </w:tr>
      <w:tr w:rsidR="002E097F" w:rsidRPr="00E84545" w14:paraId="77E73D67" w14:textId="77777777" w:rsidTr="32D382CF">
        <w:tc>
          <w:tcPr>
            <w:tcW w:w="8075" w:type="dxa"/>
          </w:tcPr>
          <w:p w14:paraId="7175E4E7" w14:textId="0FEA0909" w:rsidR="002E097F" w:rsidRPr="00D314FB" w:rsidRDefault="002E097F" w:rsidP="002E097F">
            <w:pPr>
              <w:rPr>
                <w:rFonts w:ascii="Times New Roman" w:hAnsi="Times New Roman" w:cs="Times New Roman"/>
              </w:rPr>
            </w:pPr>
            <w:r w:rsidRPr="00D314FB">
              <w:rPr>
                <w:rFonts w:ascii="Times New Roman" w:hAnsi="Times New Roman" w:cs="Times New Roman"/>
              </w:rPr>
              <w:t xml:space="preserve">See põhimõte on mõistlik, kuid eelnõus puuduvad kaitsemehhanismid olukordadeks, kus alternatiivne nimistu ei ole patsiendile tegelikult kättesaadav. </w:t>
            </w:r>
          </w:p>
          <w:p w14:paraId="52DB751E" w14:textId="77777777" w:rsidR="002E097F" w:rsidRPr="00D314FB" w:rsidRDefault="002E097F" w:rsidP="002E097F">
            <w:pPr>
              <w:rPr>
                <w:rFonts w:ascii="Times New Roman" w:hAnsi="Times New Roman" w:cs="Times New Roman"/>
              </w:rPr>
            </w:pPr>
            <w:r w:rsidRPr="00D314FB">
              <w:rPr>
                <w:rFonts w:ascii="Times New Roman" w:hAnsi="Times New Roman" w:cs="Times New Roman"/>
              </w:rPr>
              <w:t>• Lisada nimistusse võtmisest keeldumise eranditesse selge säte, et perearst ei tohi keelduda, kui alternatiivne nimistu ei ole patsiendile tegelikult kättesaadav arvestades liikumistakistust, transpordi puudumist, kommunikatsioonibarjääri või väljakujunenudravisuhet.</w:t>
            </w:r>
          </w:p>
          <w:p w14:paraId="2B54E5B6" w14:textId="20B30C42" w:rsidR="002E097F" w:rsidRPr="00E84545" w:rsidRDefault="002E097F" w:rsidP="002E097F">
            <w:pPr>
              <w:rPr>
                <w:rFonts w:ascii="Times New Roman" w:hAnsi="Times New Roman" w:cs="Times New Roman"/>
              </w:rPr>
            </w:pPr>
            <w:r w:rsidRPr="00D314FB">
              <w:rPr>
                <w:rFonts w:ascii="Times New Roman" w:hAnsi="Times New Roman" w:cs="Times New Roman"/>
              </w:rPr>
              <w:t>• Tervisekassa peab kättesaadavuse hindamisel kasutama mitte ainult nimistu arvulisi näitajaid, vaid ka ligipääsetavuse andmeid (hoone ligipääsetavus, kaugus avalikust transpordist, muude teenuste olemasolu).</w:t>
            </w:r>
          </w:p>
        </w:tc>
        <w:tc>
          <w:tcPr>
            <w:tcW w:w="5919" w:type="dxa"/>
          </w:tcPr>
          <w:p w14:paraId="1633D056" w14:textId="76F15F8E" w:rsidR="002E097F" w:rsidRPr="00E84545" w:rsidRDefault="002E097F" w:rsidP="002E097F">
            <w:pPr>
              <w:rPr>
                <w:rFonts w:ascii="Times New Roman" w:hAnsi="Times New Roman" w:cs="Times New Roman"/>
                <w:color w:val="000000" w:themeColor="text1"/>
              </w:rPr>
            </w:pPr>
            <w:r>
              <w:rPr>
                <w:rFonts w:ascii="Times New Roman" w:hAnsi="Times New Roman" w:cs="Times New Roman"/>
                <w:color w:val="000000" w:themeColor="text1"/>
              </w:rPr>
              <w:t>TTKS-i</w:t>
            </w:r>
            <w:r w:rsidRPr="573BE272">
              <w:rPr>
                <w:rFonts w:ascii="Times New Roman" w:hAnsi="Times New Roman" w:cs="Times New Roman"/>
                <w:color w:val="000000" w:themeColor="text1"/>
              </w:rPr>
              <w:t xml:space="preserve"> täiendatakse järgmise sättega (§8 lg </w:t>
            </w:r>
            <w:r w:rsidRPr="573BE272">
              <w:rPr>
                <w:rFonts w:ascii="Times New Roman" w:eastAsia="Times New Roman" w:hAnsi="Times New Roman" w:cs="Times New Roman"/>
              </w:rPr>
              <w:t>3</w:t>
            </w:r>
            <w:r w:rsidRPr="573BE272">
              <w:rPr>
                <w:rFonts w:ascii="Times New Roman" w:eastAsia="Times New Roman" w:hAnsi="Times New Roman" w:cs="Times New Roman"/>
                <w:vertAlign w:val="superscript"/>
              </w:rPr>
              <w:t>3</w:t>
            </w:r>
            <w:r w:rsidRPr="573BE272">
              <w:rPr>
                <w:rFonts w:ascii="Times New Roman" w:eastAsia="Times New Roman" w:hAnsi="Times New Roman" w:cs="Times New Roman"/>
              </w:rPr>
              <w:t>)</w:t>
            </w:r>
            <w:r w:rsidRPr="573BE272">
              <w:rPr>
                <w:rFonts w:ascii="Times New Roman" w:hAnsi="Times New Roman" w:cs="Times New Roman"/>
                <w:color w:val="000000" w:themeColor="text1"/>
              </w:rPr>
              <w:t xml:space="preserve">: </w:t>
            </w:r>
          </w:p>
          <w:p w14:paraId="5CCC3255" w14:textId="77777777" w:rsidR="002E097F" w:rsidRPr="00E84545" w:rsidRDefault="002E097F" w:rsidP="32D382CF">
            <w:pPr>
              <w:rPr>
                <w:rFonts w:ascii="Times New Roman" w:eastAsia="Times New Roman" w:hAnsi="Times New Roman" w:cs="Times New Roman"/>
                <w:i/>
                <w:iCs/>
                <w:color w:val="000000" w:themeColor="text1"/>
              </w:rPr>
            </w:pPr>
            <w:r w:rsidRPr="32D382CF">
              <w:rPr>
                <w:rFonts w:ascii="Times New Roman" w:eastAsia="Times New Roman" w:hAnsi="Times New Roman" w:cs="Times New Roman"/>
                <w:i/>
                <w:iCs/>
              </w:rPr>
              <w:t>“Perearst võib keelduda patsiendi registreerimisest nimistusse juhul, kui nimistu suurus ületab 1600 isikut ning patsiendil on samas teeninduspiirkonnas võimalik registreeruda teise perearsti nimistusse, mille suurus ei ületa 1600 isikut. Keeldumise korral annab perearst patsiendile teavet teiste samas teeninduspiirkonnas tegutsevate perearstide nimistute kohta, kuhu patsiendil on võimalik registreeruda</w:t>
            </w:r>
            <w:r w:rsidRPr="32D382CF">
              <w:rPr>
                <w:rFonts w:ascii="Times New Roman" w:eastAsia="Times New Roman" w:hAnsi="Times New Roman" w:cs="Times New Roman"/>
                <w:i/>
                <w:iCs/>
                <w:color w:val="000000" w:themeColor="text1"/>
              </w:rPr>
              <w:t>.”</w:t>
            </w:r>
          </w:p>
          <w:p w14:paraId="322A9333" w14:textId="13D558E9" w:rsidR="32D382CF" w:rsidRDefault="32D382CF" w:rsidP="32D382CF">
            <w:pPr>
              <w:rPr>
                <w:rFonts w:ascii="Times New Roman" w:eastAsia="Times New Roman" w:hAnsi="Times New Roman" w:cs="Times New Roman"/>
                <w:i/>
                <w:iCs/>
                <w:color w:val="000000" w:themeColor="text1"/>
              </w:rPr>
            </w:pPr>
          </w:p>
          <w:p w14:paraId="6B693DE0" w14:textId="126C412B" w:rsidR="002E097F" w:rsidRPr="00E84545" w:rsidRDefault="002E097F" w:rsidP="61D31C4A">
            <w:pPr>
              <w:rPr>
                <w:rFonts w:ascii="Times New Roman" w:hAnsi="Times New Roman" w:cs="Times New Roman"/>
              </w:rPr>
            </w:pPr>
            <w:r>
              <w:rPr>
                <w:rFonts w:ascii="Times New Roman" w:hAnsi="Times New Roman" w:cs="Times New Roman"/>
              </w:rPr>
              <w:t xml:space="preserve">Tervisekassa vaatab üle teeninduspiirkondade suurused ning vajadusel ajakohastab arvestades </w:t>
            </w:r>
            <w:r w:rsidR="00642326">
              <w:rPr>
                <w:rFonts w:ascii="Times New Roman" w:hAnsi="Times New Roman" w:cs="Times New Roman"/>
              </w:rPr>
              <w:t>tegelikkust.</w:t>
            </w:r>
          </w:p>
          <w:p w14:paraId="72FD3BAC" w14:textId="5E7CB1A9" w:rsidR="002E097F" w:rsidRPr="00E84545" w:rsidRDefault="002E097F" w:rsidP="002E097F">
            <w:pPr>
              <w:rPr>
                <w:rFonts w:ascii="Times New Roman" w:hAnsi="Times New Roman" w:cs="Times New Roman"/>
              </w:rPr>
            </w:pPr>
          </w:p>
        </w:tc>
      </w:tr>
      <w:tr w:rsidR="002E097F" w:rsidRPr="00E84545" w14:paraId="776F3D49" w14:textId="77777777" w:rsidTr="32D382CF">
        <w:tc>
          <w:tcPr>
            <w:tcW w:w="8075" w:type="dxa"/>
          </w:tcPr>
          <w:p w14:paraId="7FF6C0A5" w14:textId="3A67D743" w:rsidR="002E097F" w:rsidRPr="00E84545" w:rsidRDefault="002E097F" w:rsidP="002E097F">
            <w:pPr>
              <w:rPr>
                <w:rFonts w:ascii="Times New Roman" w:hAnsi="Times New Roman" w:cs="Times New Roman"/>
              </w:rPr>
            </w:pPr>
            <w:r w:rsidRPr="00B6672C">
              <w:rPr>
                <w:rFonts w:ascii="Times New Roman" w:hAnsi="Times New Roman" w:cs="Times New Roman"/>
              </w:rPr>
              <w:t>Kehtestada PITK-i põhitegevuskohtadele selged ligipääsetavuse nõuded vastavalt seadusele.</w:t>
            </w:r>
          </w:p>
        </w:tc>
        <w:tc>
          <w:tcPr>
            <w:tcW w:w="5919" w:type="dxa"/>
          </w:tcPr>
          <w:p w14:paraId="14C2A291" w14:textId="287C7759" w:rsidR="002E097F" w:rsidRPr="00E84545" w:rsidRDefault="00E523D4" w:rsidP="26918119">
            <w:pPr>
              <w:rPr>
                <w:rFonts w:ascii="Times New Roman" w:hAnsi="Times New Roman" w:cs="Times New Roman"/>
              </w:rPr>
            </w:pPr>
            <w:r w:rsidRPr="32D382CF">
              <w:rPr>
                <w:rFonts w:ascii="Times New Roman" w:hAnsi="Times New Roman" w:cs="Times New Roman"/>
              </w:rPr>
              <w:t>Plaanis on edasi minna laiendatud ülesannetega tervisekesk</w:t>
            </w:r>
            <w:r w:rsidR="006447F7" w:rsidRPr="32D382CF">
              <w:rPr>
                <w:rFonts w:ascii="Times New Roman" w:hAnsi="Times New Roman" w:cs="Times New Roman"/>
              </w:rPr>
              <w:t>uste</w:t>
            </w:r>
            <w:r w:rsidR="000D7686" w:rsidRPr="32D382CF">
              <w:rPr>
                <w:rFonts w:ascii="Times New Roman" w:hAnsi="Times New Roman" w:cs="Times New Roman"/>
              </w:rPr>
              <w:t xml:space="preserve"> </w:t>
            </w:r>
            <w:r w:rsidR="0D74B340" w:rsidRPr="32D382CF">
              <w:rPr>
                <w:rFonts w:ascii="Times New Roman" w:hAnsi="Times New Roman" w:cs="Times New Roman"/>
              </w:rPr>
              <w:t>(LÜTK)</w:t>
            </w:r>
            <w:r w:rsidR="006447F7" w:rsidRPr="32D382CF">
              <w:rPr>
                <w:rFonts w:ascii="Times New Roman" w:hAnsi="Times New Roman" w:cs="Times New Roman"/>
              </w:rPr>
              <w:t xml:space="preserve"> kontseptsiooniga</w:t>
            </w:r>
            <w:r w:rsidR="00824571" w:rsidRPr="32D382CF">
              <w:rPr>
                <w:rFonts w:ascii="Times New Roman" w:hAnsi="Times New Roman" w:cs="Times New Roman"/>
              </w:rPr>
              <w:t>. LÜTK täidab täiendavaid lisaülesandeid, kuid see ei tähenda, et</w:t>
            </w:r>
            <w:r w:rsidR="0D6BDD0E" w:rsidRPr="32D382CF">
              <w:rPr>
                <w:rFonts w:ascii="Times New Roman" w:hAnsi="Times New Roman" w:cs="Times New Roman"/>
              </w:rPr>
              <w:t xml:space="preserve"> LÜTK-de nimetamisega</w:t>
            </w:r>
            <w:r w:rsidR="00824571" w:rsidRPr="32D382CF">
              <w:rPr>
                <w:rFonts w:ascii="Times New Roman" w:hAnsi="Times New Roman" w:cs="Times New Roman"/>
              </w:rPr>
              <w:t xml:space="preserve"> </w:t>
            </w:r>
            <w:r w:rsidR="00022B78" w:rsidRPr="32D382CF">
              <w:rPr>
                <w:rFonts w:ascii="Times New Roman" w:hAnsi="Times New Roman" w:cs="Times New Roman"/>
              </w:rPr>
              <w:t>ehitatakse uusi hooneid</w:t>
            </w:r>
            <w:r w:rsidR="000C0137" w:rsidRPr="32D382CF">
              <w:rPr>
                <w:rFonts w:ascii="Times New Roman" w:hAnsi="Times New Roman" w:cs="Times New Roman"/>
              </w:rPr>
              <w:t>.</w:t>
            </w:r>
            <w:r w:rsidR="6B60C852" w:rsidRPr="32D382CF">
              <w:rPr>
                <w:rFonts w:ascii="Times New Roman" w:hAnsi="Times New Roman" w:cs="Times New Roman"/>
              </w:rPr>
              <w:t xml:space="preserve"> LÜTK-ks saab tavapäraselt juba tegutsev tervisekeskus.</w:t>
            </w:r>
          </w:p>
          <w:p w14:paraId="3849848F" w14:textId="3E7E078F" w:rsidR="002E097F" w:rsidRPr="00E84545" w:rsidRDefault="002E097F" w:rsidP="002E097F">
            <w:pPr>
              <w:rPr>
                <w:rFonts w:ascii="Times New Roman" w:hAnsi="Times New Roman" w:cs="Times New Roman"/>
              </w:rPr>
            </w:pPr>
          </w:p>
        </w:tc>
      </w:tr>
      <w:tr w:rsidR="002E097F" w:rsidRPr="00E84545" w14:paraId="3CD84DC3" w14:textId="77777777" w:rsidTr="32D382CF">
        <w:tc>
          <w:tcPr>
            <w:tcW w:w="8075" w:type="dxa"/>
          </w:tcPr>
          <w:p w14:paraId="6D6D4626" w14:textId="77777777" w:rsidR="002E097F" w:rsidRDefault="002E097F" w:rsidP="002E097F">
            <w:pPr>
              <w:rPr>
                <w:rFonts w:ascii="Times New Roman" w:hAnsi="Times New Roman" w:cs="Times New Roman"/>
              </w:rPr>
            </w:pPr>
            <w:r w:rsidRPr="00B6672C">
              <w:rPr>
                <w:rFonts w:ascii="Times New Roman" w:hAnsi="Times New Roman" w:cs="Times New Roman"/>
              </w:rPr>
              <w:t xml:space="preserve">Säilitada kohustus avaldada vähemalt iganädalane vastuvõtuskeem, mis ei nõua päevapõhist graafikut, kuid annab patsiendile minimaalselt vajaliku info. </w:t>
            </w:r>
          </w:p>
          <w:p w14:paraId="32163B0F" w14:textId="19E47BC7" w:rsidR="002E097F" w:rsidRDefault="002E097F" w:rsidP="002E097F">
            <w:pPr>
              <w:rPr>
                <w:rFonts w:ascii="Times New Roman" w:hAnsi="Times New Roman" w:cs="Times New Roman"/>
              </w:rPr>
            </w:pPr>
            <w:r w:rsidRPr="00B6672C">
              <w:rPr>
                <w:rFonts w:ascii="Times New Roman" w:hAnsi="Times New Roman" w:cs="Times New Roman"/>
              </w:rPr>
              <w:t xml:space="preserve">• Lisada nõue, et teave peab olema kättesaadav nii digitaalselt kui ka tegevuskoha infostendil lihtsas keeles. </w:t>
            </w:r>
          </w:p>
          <w:p w14:paraId="13893A59" w14:textId="479ECC73" w:rsidR="002E097F" w:rsidRPr="00E84545" w:rsidRDefault="002E097F" w:rsidP="002E097F">
            <w:pPr>
              <w:rPr>
                <w:rFonts w:ascii="Times New Roman" w:hAnsi="Times New Roman" w:cs="Times New Roman"/>
              </w:rPr>
            </w:pPr>
            <w:r w:rsidRPr="00B6672C">
              <w:rPr>
                <w:rFonts w:ascii="Times New Roman" w:hAnsi="Times New Roman" w:cs="Times New Roman"/>
              </w:rPr>
              <w:t>• Kehtestada kohustus teavitada patsiente muutustest vastuvõtuaegades vähemalt 5 tööpäeva ette (v.a erakorralised asjaolud)</w:t>
            </w:r>
          </w:p>
        </w:tc>
        <w:tc>
          <w:tcPr>
            <w:tcW w:w="5919" w:type="dxa"/>
          </w:tcPr>
          <w:p w14:paraId="48F1294D" w14:textId="73B75719" w:rsidR="002E097F" w:rsidRDefault="00B624A8" w:rsidP="002E097F">
            <w:pPr>
              <w:rPr>
                <w:rFonts w:ascii="Times New Roman" w:hAnsi="Times New Roman" w:cs="Times New Roman"/>
              </w:rPr>
            </w:pPr>
            <w:r w:rsidRPr="05742371">
              <w:rPr>
                <w:rFonts w:ascii="Times New Roman" w:hAnsi="Times New Roman" w:cs="Times New Roman"/>
              </w:rPr>
              <w:t>Arvestatud</w:t>
            </w:r>
            <w:r>
              <w:rPr>
                <w:rFonts w:ascii="Times New Roman" w:hAnsi="Times New Roman" w:cs="Times New Roman"/>
              </w:rPr>
              <w:t>, muudetakse</w:t>
            </w:r>
            <w:r w:rsidR="009C3564">
              <w:rPr>
                <w:rFonts w:ascii="Times New Roman" w:hAnsi="Times New Roman" w:cs="Times New Roman"/>
              </w:rPr>
              <w:t xml:space="preserve"> </w:t>
            </w:r>
            <w:r w:rsidR="009C3564" w:rsidRPr="004D5B1A">
              <w:rPr>
                <w:rFonts w:ascii="Times New Roman" w:hAnsi="Times New Roman" w:cs="Times New Roman"/>
              </w:rPr>
              <w:t>§ </w:t>
            </w:r>
            <w:r w:rsidR="009C3564" w:rsidRPr="4A99123C">
              <w:rPr>
                <w:rFonts w:ascii="Times New Roman" w:hAnsi="Times New Roman" w:cs="Times New Roman"/>
                <w:noProof/>
              </w:rPr>
              <w:t>8 lõike 4</w:t>
            </w:r>
            <w:r w:rsidR="009C3564">
              <w:rPr>
                <w:rFonts w:ascii="Times New Roman" w:hAnsi="Times New Roman" w:cs="Times New Roman"/>
                <w:noProof/>
                <w:vertAlign w:val="superscript"/>
              </w:rPr>
              <w:t>8</w:t>
            </w:r>
            <w:r w:rsidR="009C3564" w:rsidRPr="4A99123C">
              <w:rPr>
                <w:rFonts w:ascii="Times New Roman" w:hAnsi="Times New Roman" w:cs="Times New Roman"/>
                <w:noProof/>
              </w:rPr>
              <w:t xml:space="preserve"> punkti 3 </w:t>
            </w:r>
            <w:r w:rsidR="009C3564">
              <w:rPr>
                <w:rFonts w:ascii="Times New Roman" w:hAnsi="Times New Roman" w:cs="Times New Roman"/>
                <w:noProof/>
              </w:rPr>
              <w:t xml:space="preserve">ja </w:t>
            </w:r>
            <w:r w:rsidR="009C3564" w:rsidRPr="004D5B1A">
              <w:rPr>
                <w:rFonts w:ascii="Times New Roman" w:hAnsi="Times New Roman" w:cs="Times New Roman"/>
              </w:rPr>
              <w:t xml:space="preserve"> lõike 4</w:t>
            </w:r>
            <w:r w:rsidR="009C3564" w:rsidRPr="004D5B1A">
              <w:rPr>
                <w:rFonts w:ascii="Times New Roman" w:hAnsi="Times New Roman" w:cs="Times New Roman"/>
                <w:vertAlign w:val="superscript"/>
              </w:rPr>
              <w:t>9</w:t>
            </w:r>
            <w:r w:rsidR="009C3564" w:rsidRPr="004D5B1A">
              <w:rPr>
                <w:rFonts w:ascii="Times New Roman" w:hAnsi="Times New Roman" w:cs="Times New Roman"/>
              </w:rPr>
              <w:t> punkti 2</w:t>
            </w:r>
            <w:r>
              <w:rPr>
                <w:rFonts w:ascii="Times New Roman" w:hAnsi="Times New Roman" w:cs="Times New Roman"/>
              </w:rPr>
              <w:t xml:space="preserve">, millega </w:t>
            </w:r>
            <w:r w:rsidRPr="0053541B">
              <w:rPr>
                <w:rFonts w:ascii="Times New Roman" w:hAnsi="Times New Roman" w:cs="Times New Roman"/>
              </w:rPr>
              <w:t xml:space="preserve">nähakse ette kohustus esitada </w:t>
            </w:r>
            <w:r>
              <w:rPr>
                <w:rFonts w:ascii="Times New Roman" w:hAnsi="Times New Roman" w:cs="Times New Roman"/>
              </w:rPr>
              <w:t xml:space="preserve">perearsti </w:t>
            </w:r>
            <w:r w:rsidRPr="0053541B">
              <w:rPr>
                <w:rFonts w:ascii="Times New Roman" w:hAnsi="Times New Roman" w:cs="Times New Roman"/>
              </w:rPr>
              <w:t>tavapärased kontaktvastuvõtuajad, mitte iga üksikut ajutist muudatust.</w:t>
            </w:r>
          </w:p>
          <w:p w14:paraId="4243CC99" w14:textId="41095033" w:rsidR="1C8DB492" w:rsidRDefault="1C8DB492" w:rsidP="1C8DB492">
            <w:pPr>
              <w:rPr>
                <w:rFonts w:ascii="Times New Roman" w:hAnsi="Times New Roman" w:cs="Times New Roman"/>
              </w:rPr>
            </w:pPr>
          </w:p>
          <w:p w14:paraId="19AE9354" w14:textId="76EE2E6E" w:rsidR="00040F0B" w:rsidRDefault="3639281A" w:rsidP="002E097F">
            <w:pPr>
              <w:rPr>
                <w:rFonts w:ascii="Times New Roman" w:hAnsi="Times New Roman" w:cs="Times New Roman"/>
              </w:rPr>
            </w:pPr>
            <w:r w:rsidRPr="7EDF7777">
              <w:rPr>
                <w:rFonts w:ascii="Times New Roman" w:hAnsi="Times New Roman" w:cs="Times New Roman"/>
              </w:rPr>
              <w:t xml:space="preserve">Sotsiaalministri </w:t>
            </w:r>
            <w:r w:rsidRPr="6FB57F31">
              <w:rPr>
                <w:rFonts w:ascii="Times New Roman" w:eastAsia="Aptos" w:hAnsi="Times New Roman" w:cs="Times New Roman"/>
              </w:rPr>
              <w:t>24.03.2026</w:t>
            </w:r>
            <w:r w:rsidRPr="4AF381BB">
              <w:rPr>
                <w:rFonts w:ascii="Times New Roman" w:hAnsi="Times New Roman" w:cs="Times New Roman"/>
              </w:rPr>
              <w:t xml:space="preserve"> </w:t>
            </w:r>
            <w:r w:rsidRPr="7EDF7777">
              <w:rPr>
                <w:rFonts w:ascii="Times New Roman" w:hAnsi="Times New Roman" w:cs="Times New Roman"/>
              </w:rPr>
              <w:t>määrus</w:t>
            </w:r>
            <w:r w:rsidRPr="0D71CA5D">
              <w:rPr>
                <w:rFonts w:ascii="Times New Roman" w:hAnsi="Times New Roman" w:cs="Times New Roman"/>
              </w:rPr>
              <w:t xml:space="preserve"> nr </w:t>
            </w:r>
            <w:r w:rsidRPr="6A88024E">
              <w:rPr>
                <w:rFonts w:ascii="Times New Roman" w:hAnsi="Times New Roman" w:cs="Times New Roman"/>
              </w:rPr>
              <w:t>14 “</w:t>
            </w:r>
            <w:r w:rsidR="4237C947" w:rsidRPr="7567B0D6">
              <w:rPr>
                <w:rFonts w:ascii="Times New Roman" w:eastAsia="Aptos" w:hAnsi="Times New Roman" w:cs="Times New Roman"/>
              </w:rPr>
              <w:t>Perearstiabi töökorraldus ning tervisekeskuse liigid ja nõuded</w:t>
            </w:r>
            <w:r w:rsidR="2C4102FF" w:rsidRPr="7567B0D6">
              <w:rPr>
                <w:rFonts w:ascii="Times New Roman" w:eastAsia="Aptos" w:hAnsi="Times New Roman" w:cs="Times New Roman"/>
              </w:rPr>
              <w:t>” sätestab, et perearstiabi osutaja tagab</w:t>
            </w:r>
            <w:r w:rsidR="00040F0B" w:rsidRPr="7567B0D6">
              <w:rPr>
                <w:rFonts w:ascii="Times New Roman" w:eastAsia="Aptos" w:hAnsi="Times New Roman" w:cs="Times New Roman"/>
              </w:rPr>
              <w:t xml:space="preserve"> </w:t>
            </w:r>
            <w:r w:rsidR="00040F0B" w:rsidRPr="7567B0D6">
              <w:rPr>
                <w:rFonts w:ascii="Times New Roman" w:hAnsi="Times New Roman" w:cs="Times New Roman"/>
              </w:rPr>
              <w:t>info tavapäraste kontaktvastuvõtuaegade kohta nii tegevuskohas kohapeal kui ka avalikul veebilehel.</w:t>
            </w:r>
          </w:p>
          <w:p w14:paraId="6E40ECE6" w14:textId="77777777" w:rsidR="00040F0B" w:rsidRDefault="00040F0B" w:rsidP="002E097F">
            <w:pPr>
              <w:rPr>
                <w:rFonts w:ascii="Times New Roman" w:hAnsi="Times New Roman" w:cs="Times New Roman"/>
                <w:color w:val="FF0000"/>
              </w:rPr>
            </w:pPr>
          </w:p>
          <w:p w14:paraId="1290173E" w14:textId="2F23BC22" w:rsidR="00040F0B" w:rsidRPr="00040F0B" w:rsidRDefault="00040F0B" w:rsidP="002E097F">
            <w:pPr>
              <w:rPr>
                <w:rFonts w:ascii="Times New Roman" w:hAnsi="Times New Roman" w:cs="Times New Roman"/>
              </w:rPr>
            </w:pPr>
            <w:r>
              <w:rPr>
                <w:rFonts w:ascii="Times New Roman" w:hAnsi="Times New Roman" w:cs="Times New Roman"/>
              </w:rPr>
              <w:lastRenderedPageBreak/>
              <w:t xml:space="preserve">Vastuvõtule registreeritakse patsient triaaži põhiselt, abi kiirus määratakse vastavalt terviseseisundile. </w:t>
            </w:r>
          </w:p>
        </w:tc>
      </w:tr>
      <w:tr w:rsidR="002E097F" w:rsidRPr="00E84545" w14:paraId="562AE7E5" w14:textId="77777777" w:rsidTr="32D382CF">
        <w:tc>
          <w:tcPr>
            <w:tcW w:w="13994" w:type="dxa"/>
            <w:gridSpan w:val="2"/>
          </w:tcPr>
          <w:p w14:paraId="6F70D1BB" w14:textId="1B8F6F7A" w:rsidR="002E097F" w:rsidRPr="00E84545" w:rsidRDefault="002E097F" w:rsidP="002E097F">
            <w:pPr>
              <w:jc w:val="center"/>
              <w:rPr>
                <w:rFonts w:ascii="Times New Roman" w:hAnsi="Times New Roman" w:cs="Times New Roman"/>
              </w:rPr>
            </w:pPr>
            <w:r w:rsidRPr="00E84545">
              <w:rPr>
                <w:rFonts w:ascii="Times New Roman" w:hAnsi="Times New Roman" w:cs="Times New Roman"/>
                <w:b/>
                <w:bCs/>
              </w:rPr>
              <w:lastRenderedPageBreak/>
              <w:t>Eesti Õdede Liit</w:t>
            </w:r>
          </w:p>
        </w:tc>
      </w:tr>
      <w:tr w:rsidR="002E097F" w:rsidRPr="00E84545" w14:paraId="6D2C63CF" w14:textId="77777777" w:rsidTr="32D382CF">
        <w:tc>
          <w:tcPr>
            <w:tcW w:w="8075" w:type="dxa"/>
          </w:tcPr>
          <w:p w14:paraId="1C5FBEC3" w14:textId="3EE2016E" w:rsidR="002E097F" w:rsidRPr="00E84545" w:rsidRDefault="002E097F" w:rsidP="002E097F">
            <w:pPr>
              <w:jc w:val="center"/>
              <w:rPr>
                <w:rFonts w:ascii="Times New Roman" w:hAnsi="Times New Roman" w:cs="Times New Roman"/>
              </w:rPr>
            </w:pPr>
            <w:r w:rsidRPr="00E84545">
              <w:rPr>
                <w:rFonts w:ascii="Times New Roman" w:hAnsi="Times New Roman" w:cs="Times New Roman"/>
                <w:b/>
                <w:bCs/>
              </w:rPr>
              <w:t>Märkused/ettepanekud</w:t>
            </w:r>
          </w:p>
        </w:tc>
        <w:tc>
          <w:tcPr>
            <w:tcW w:w="5919" w:type="dxa"/>
          </w:tcPr>
          <w:p w14:paraId="20260221" w14:textId="7F5DB831" w:rsidR="002E097F" w:rsidRPr="00E84545" w:rsidRDefault="002E097F" w:rsidP="002E097F">
            <w:pPr>
              <w:jc w:val="center"/>
              <w:rPr>
                <w:rFonts w:ascii="Times New Roman" w:hAnsi="Times New Roman" w:cs="Times New Roman"/>
                <w:color w:val="4EA72E" w:themeColor="accent6"/>
              </w:rPr>
            </w:pPr>
            <w:r w:rsidRPr="00E84545">
              <w:rPr>
                <w:rFonts w:ascii="Times New Roman" w:hAnsi="Times New Roman" w:cs="Times New Roman"/>
                <w:b/>
                <w:bCs/>
              </w:rPr>
              <w:t>Seisukoht/Selgitus</w:t>
            </w:r>
          </w:p>
        </w:tc>
      </w:tr>
      <w:tr w:rsidR="002E097F" w:rsidRPr="00E84545" w14:paraId="60C414A8" w14:textId="77777777" w:rsidTr="32D382CF">
        <w:tc>
          <w:tcPr>
            <w:tcW w:w="8075" w:type="dxa"/>
          </w:tcPr>
          <w:p w14:paraId="21EBCE5F" w14:textId="41B8A4F5" w:rsidR="002E097F" w:rsidRPr="00E84545" w:rsidRDefault="002E097F" w:rsidP="002E097F">
            <w:pPr>
              <w:rPr>
                <w:rFonts w:ascii="Times New Roman" w:hAnsi="Times New Roman" w:cs="Times New Roman"/>
              </w:rPr>
            </w:pPr>
            <w:r w:rsidRPr="00B42B2B">
              <w:rPr>
                <w:rFonts w:ascii="Times New Roman" w:hAnsi="Times New Roman" w:cs="Times New Roman"/>
              </w:rPr>
              <w:t>Toetame lahendust, kus asendatavate nimistute puhul on fikseeritud, kui palju peab olema kontaktvastuvõtutunde kinnitatud nimistuga perearstil endal ja kui palju teistel meeskonnas olevatel arstidel, mitte lihtsalt meeskonnas olemise kaudu. Selline lahendus tagab patsientidele reaalse kontaktvastuvõtu ning pereõdedele vajadusel toe perearsti näol. Pereõde on iseseisev spetsialist, kes teeb iseseisvat vastuvõttu ning hindab krooniliste haigustega patsiendi seisundist, aga teostab ka ägeda haige esmase hindamise. Perearsti vastuvõtt ei pruugi olla igapäevaselt tagatud, kuid pereõel peab olema võimalus inimese seisundi ägenemise korral konsulteerida arstiga.</w:t>
            </w:r>
          </w:p>
        </w:tc>
        <w:tc>
          <w:tcPr>
            <w:tcW w:w="5919" w:type="dxa"/>
          </w:tcPr>
          <w:p w14:paraId="555B5B10" w14:textId="591F8DEA" w:rsidR="098E0F13" w:rsidRDefault="098E0F13" w:rsidP="32D382CF">
            <w:pPr>
              <w:rPr>
                <w:rFonts w:ascii="Times New Roman" w:eastAsia="Times New Roman" w:hAnsi="Times New Roman" w:cs="Times New Roman"/>
                <w:i/>
                <w:iCs/>
                <w:color w:val="000000" w:themeColor="text1"/>
              </w:rPr>
            </w:pPr>
            <w:r w:rsidRPr="32D382CF">
              <w:rPr>
                <w:rFonts w:ascii="Times New Roman" w:hAnsi="Times New Roman" w:cs="Times New Roman"/>
              </w:rPr>
              <w:t xml:space="preserve">TTKS-i § </w:t>
            </w:r>
            <w:r w:rsidRPr="32D382CF">
              <w:rPr>
                <w:rFonts w:ascii="Times New Roman" w:eastAsia="Aptos" w:hAnsi="Times New Roman" w:cs="Times New Roman"/>
              </w:rPr>
              <w:t>8 täiendatakse lõikega 6</w:t>
            </w:r>
            <w:r w:rsidRPr="32D382CF">
              <w:rPr>
                <w:rFonts w:ascii="Times New Roman" w:eastAsia="Aptos" w:hAnsi="Times New Roman" w:cs="Times New Roman"/>
                <w:vertAlign w:val="superscript"/>
              </w:rPr>
              <w:t>2</w:t>
            </w:r>
            <w:r w:rsidRPr="32D382CF">
              <w:rPr>
                <w:rFonts w:ascii="Times New Roman" w:eastAsia="Times New Roman" w:hAnsi="Times New Roman" w:cs="Times New Roman"/>
                <w:color w:val="000000" w:themeColor="text1"/>
              </w:rPr>
              <w:t xml:space="preserve"> </w:t>
            </w:r>
            <w:r w:rsidRPr="32D382CF">
              <w:rPr>
                <w:rFonts w:ascii="Times New Roman" w:eastAsia="Times New Roman" w:hAnsi="Times New Roman" w:cs="Times New Roman"/>
                <w:i/>
                <w:iCs/>
                <w:color w:val="000000" w:themeColor="text1"/>
              </w:rPr>
              <w:t>„Kui perearstiabi osutatakse perearsti nimistu alusel äriühingu kaudu, peab perearstiabi osutaja järgima § 8 lõike 6¹ alusel kehtestatud määruses sätestatud nõudeid arsti kontaktvastuvõttude korraldamisele.“</w:t>
            </w:r>
          </w:p>
          <w:p w14:paraId="2D83FCD8" w14:textId="77777777" w:rsidR="32D382CF" w:rsidRDefault="32D382CF" w:rsidP="32D382CF">
            <w:pPr>
              <w:rPr>
                <w:rFonts w:ascii="Times New Roman" w:eastAsia="Times New Roman" w:hAnsi="Times New Roman" w:cs="Times New Roman"/>
                <w:i/>
                <w:iCs/>
                <w:color w:val="000000" w:themeColor="text1"/>
              </w:rPr>
            </w:pPr>
          </w:p>
          <w:p w14:paraId="29C4D3C9" w14:textId="5E2C9F2C" w:rsidR="098E0F13" w:rsidRDefault="098E0F13" w:rsidP="32D382CF">
            <w:pPr>
              <w:rPr>
                <w:rFonts w:ascii="Times New Roman" w:eastAsia="Times New Roman" w:hAnsi="Times New Roman" w:cs="Times New Roman"/>
              </w:rPr>
            </w:pPr>
            <w:r w:rsidRPr="32D382CF">
              <w:rPr>
                <w:rFonts w:ascii="Times New Roman" w:eastAsia="Times New Roman" w:hAnsi="Times New Roman" w:cs="Times New Roman"/>
              </w:rPr>
              <w:t>Erandjuhtudel on võimalik riski- ja kriisipiirkondades teha erisusi ettenähtud normidest.</w:t>
            </w:r>
          </w:p>
          <w:p w14:paraId="181CC132" w14:textId="098A854B" w:rsidR="32D382CF" w:rsidRDefault="32D382CF" w:rsidP="32D382CF">
            <w:pPr>
              <w:rPr>
                <w:rFonts w:ascii="Times New Roman" w:eastAsia="Times New Roman" w:hAnsi="Times New Roman" w:cs="Times New Roman"/>
                <w:i/>
                <w:iCs/>
                <w:color w:val="000000" w:themeColor="text1"/>
              </w:rPr>
            </w:pPr>
          </w:p>
          <w:p w14:paraId="6E58D3D9" w14:textId="7B946919" w:rsidR="002E097F" w:rsidRPr="00E84545" w:rsidRDefault="002E097F" w:rsidP="002E097F">
            <w:pPr>
              <w:rPr>
                <w:rFonts w:ascii="Times New Roman" w:hAnsi="Times New Roman" w:cs="Times New Roman"/>
                <w:color w:val="4EA72E" w:themeColor="accent6"/>
              </w:rPr>
            </w:pPr>
          </w:p>
        </w:tc>
      </w:tr>
      <w:tr w:rsidR="002E097F" w:rsidRPr="00E84545" w14:paraId="046CA1E6" w14:textId="77777777" w:rsidTr="32D382CF">
        <w:tc>
          <w:tcPr>
            <w:tcW w:w="8075" w:type="dxa"/>
          </w:tcPr>
          <w:p w14:paraId="1D18CA68" w14:textId="5AD02FBB" w:rsidR="002E097F" w:rsidRPr="00E84545" w:rsidRDefault="002E097F" w:rsidP="002E097F">
            <w:pPr>
              <w:rPr>
                <w:rFonts w:ascii="Times New Roman" w:hAnsi="Times New Roman" w:cs="Times New Roman"/>
              </w:rPr>
            </w:pPr>
            <w:r w:rsidRPr="00B42B2B">
              <w:rPr>
                <w:rFonts w:ascii="Times New Roman" w:hAnsi="Times New Roman" w:cs="Times New Roman"/>
              </w:rPr>
              <w:t>Toetame piirkondliku vastutusega tervisekeskuste loomist. Täpsustamist vajab, kuidas hakkab PITK teenindama hooldekodu patsiente. Täna on olukord, kus hooldekodus oleva patsiendi perearst ei pruugi asuda samas maakonnas ning hooldekodus töötav õde ei pruugi saada vajalikku tuge. Kas PITK hakkab automaatselt teenindama kõiki tema piirkonnas asuvas hooldekodus viibivaid patsiente?</w:t>
            </w:r>
          </w:p>
        </w:tc>
        <w:tc>
          <w:tcPr>
            <w:tcW w:w="5919" w:type="dxa"/>
          </w:tcPr>
          <w:p w14:paraId="5B19B61F" w14:textId="090C0F37" w:rsidR="002E097F" w:rsidRPr="009252DF" w:rsidRDefault="009252DF" w:rsidP="002E097F">
            <w:pPr>
              <w:rPr>
                <w:rFonts w:ascii="Times New Roman" w:hAnsi="Times New Roman" w:cs="Times New Roman"/>
              </w:rPr>
            </w:pPr>
            <w:r>
              <w:rPr>
                <w:rFonts w:ascii="Times New Roman" w:hAnsi="Times New Roman" w:cs="Times New Roman"/>
              </w:rPr>
              <w:t xml:space="preserve">Hooldekodu elanike teenindamise küsimus vajab edasisi arutelusid. </w:t>
            </w:r>
          </w:p>
        </w:tc>
      </w:tr>
      <w:tr w:rsidR="002E097F" w:rsidRPr="00E84545" w14:paraId="029F1566" w14:textId="77777777" w:rsidTr="32D382CF">
        <w:tc>
          <w:tcPr>
            <w:tcW w:w="13994" w:type="dxa"/>
            <w:gridSpan w:val="2"/>
          </w:tcPr>
          <w:p w14:paraId="4281A4E1" w14:textId="05E00AD0" w:rsidR="002E097F" w:rsidRPr="00E84545" w:rsidRDefault="002E097F" w:rsidP="002E097F">
            <w:pPr>
              <w:jc w:val="center"/>
              <w:rPr>
                <w:rFonts w:ascii="Times New Roman" w:hAnsi="Times New Roman" w:cs="Times New Roman"/>
                <w:b/>
                <w:bCs/>
                <w:color w:val="4EA72E" w:themeColor="accent6"/>
              </w:rPr>
            </w:pPr>
            <w:r w:rsidRPr="00E84545">
              <w:rPr>
                <w:rFonts w:ascii="Times New Roman" w:hAnsi="Times New Roman" w:cs="Times New Roman"/>
                <w:b/>
                <w:bCs/>
              </w:rPr>
              <w:t>Eesti Väike- ja Keskmiste Ettevõtjate Assotsiatsioon</w:t>
            </w:r>
          </w:p>
        </w:tc>
      </w:tr>
      <w:tr w:rsidR="002E097F" w:rsidRPr="00E84545" w14:paraId="710AF7A9" w14:textId="77777777" w:rsidTr="32D382CF">
        <w:tc>
          <w:tcPr>
            <w:tcW w:w="8075" w:type="dxa"/>
          </w:tcPr>
          <w:p w14:paraId="593D02B2" w14:textId="4BD79F3A" w:rsidR="002E097F" w:rsidRPr="00E84545" w:rsidRDefault="002E097F" w:rsidP="002E097F">
            <w:pPr>
              <w:jc w:val="center"/>
              <w:rPr>
                <w:rFonts w:ascii="Times New Roman" w:hAnsi="Times New Roman" w:cs="Times New Roman"/>
              </w:rPr>
            </w:pPr>
            <w:r w:rsidRPr="00E84545">
              <w:rPr>
                <w:rFonts w:ascii="Times New Roman" w:hAnsi="Times New Roman" w:cs="Times New Roman"/>
                <w:b/>
                <w:bCs/>
              </w:rPr>
              <w:t>Märkused/ettepanekud</w:t>
            </w:r>
          </w:p>
        </w:tc>
        <w:tc>
          <w:tcPr>
            <w:tcW w:w="5919" w:type="dxa"/>
          </w:tcPr>
          <w:p w14:paraId="149D491F" w14:textId="2A04430C" w:rsidR="002E097F" w:rsidRPr="00E84545" w:rsidRDefault="002E097F" w:rsidP="002E097F">
            <w:pPr>
              <w:jc w:val="center"/>
              <w:rPr>
                <w:rFonts w:ascii="Times New Roman" w:hAnsi="Times New Roman" w:cs="Times New Roman"/>
                <w:color w:val="4EA72E" w:themeColor="accent6"/>
              </w:rPr>
            </w:pPr>
            <w:r w:rsidRPr="00E84545">
              <w:rPr>
                <w:rFonts w:ascii="Times New Roman" w:hAnsi="Times New Roman" w:cs="Times New Roman"/>
                <w:b/>
                <w:bCs/>
              </w:rPr>
              <w:t>Seisukoht/Selgitus</w:t>
            </w:r>
          </w:p>
        </w:tc>
      </w:tr>
      <w:tr w:rsidR="002E097F" w:rsidRPr="00E84545" w14:paraId="0CEE769C" w14:textId="77777777" w:rsidTr="32D382CF">
        <w:tc>
          <w:tcPr>
            <w:tcW w:w="8075" w:type="dxa"/>
          </w:tcPr>
          <w:p w14:paraId="1C8A9E74" w14:textId="3CC3C0F4" w:rsidR="002E097F" w:rsidRPr="00E84545" w:rsidRDefault="002E097F" w:rsidP="002E097F">
            <w:pPr>
              <w:rPr>
                <w:rFonts w:ascii="Times New Roman" w:hAnsi="Times New Roman" w:cs="Times New Roman"/>
              </w:rPr>
            </w:pPr>
            <w:r w:rsidRPr="00B82EC7">
              <w:rPr>
                <w:rFonts w:ascii="Times New Roman" w:hAnsi="Times New Roman" w:cs="Times New Roman"/>
              </w:rPr>
              <w:t xml:space="preserve">Nimistute suurusega seotud regulatsiooni täpsustamisel ei sobi EVEA hinnangul lahenduseks nimistutes ja asendusnimistutes olevate isikute arvu kokku liitmine ja vastavale arvule ülempiiri kehtestamine. Nimistud ise on piiratud isikute arvu ülempiiriga ja perearsti asendamise puhul piisab sellest, kui regulatiivselt piirata nimistute arvu, mida asendusarst teenindab. Eraldi keeldumise aluseid nimistusse võtmise jaoks ei ole vaja sätestada, selleks aluseks ongi nimistu suuruse piirmäär. Perearstid saavad ise nimistu suuruse haldamisega hakkama. Tervisekeskustel võiks olla olulisem roll seal tegutsevate perearstide nimistute suuruse kujundamisel. VTK-s pakutud nimistu optimaalse suuruse (1600 isikut) </w:t>
            </w:r>
            <w:r w:rsidRPr="00B82EC7">
              <w:rPr>
                <w:rFonts w:ascii="Times New Roman" w:hAnsi="Times New Roman" w:cs="Times New Roman"/>
              </w:rPr>
              <w:lastRenderedPageBreak/>
              <w:t>seadustamine eraldi keeldumise alusena nimistusse võtmiseks ei aita meie hinnangul kaasa õigusselgusele.</w:t>
            </w:r>
          </w:p>
        </w:tc>
        <w:tc>
          <w:tcPr>
            <w:tcW w:w="5919" w:type="dxa"/>
          </w:tcPr>
          <w:p w14:paraId="28C98861" w14:textId="7FC7FCB9" w:rsidR="002E097F" w:rsidRPr="001C04AE" w:rsidRDefault="00D81B39" w:rsidP="002E097F">
            <w:pPr>
              <w:rPr>
                <w:rFonts w:ascii="Times New Roman" w:hAnsi="Times New Roman" w:cs="Times New Roman"/>
              </w:rPr>
            </w:pPr>
            <w:r w:rsidRPr="32D382CF">
              <w:rPr>
                <w:rFonts w:ascii="Times New Roman" w:hAnsi="Times New Roman" w:cs="Times New Roman"/>
              </w:rPr>
              <w:lastRenderedPageBreak/>
              <w:t xml:space="preserve">Nimistu piirsuurust ei reguleerita, </w:t>
            </w:r>
            <w:r w:rsidR="74B3B9D5" w:rsidRPr="32D382CF">
              <w:rPr>
                <w:rFonts w:ascii="Times New Roman" w:hAnsi="Times New Roman" w:cs="Times New Roman"/>
              </w:rPr>
              <w:t xml:space="preserve">muudatustega </w:t>
            </w:r>
            <w:r w:rsidRPr="32D382CF">
              <w:rPr>
                <w:rFonts w:ascii="Times New Roman" w:hAnsi="Times New Roman" w:cs="Times New Roman"/>
              </w:rPr>
              <w:t xml:space="preserve"> jaotakse teeninduspiirkonnas ühtlasemalt perearstide koormust</w:t>
            </w:r>
            <w:r w:rsidR="001C04AE" w:rsidRPr="32D382CF">
              <w:rPr>
                <w:rFonts w:ascii="Times New Roman" w:hAnsi="Times New Roman" w:cs="Times New Roman"/>
              </w:rPr>
              <w:t xml:space="preserve">. </w:t>
            </w:r>
          </w:p>
          <w:p w14:paraId="20B05256" w14:textId="7BB215E8" w:rsidR="32D382CF" w:rsidRDefault="32D382CF" w:rsidP="32D382CF">
            <w:pPr>
              <w:rPr>
                <w:rFonts w:ascii="Times New Roman" w:hAnsi="Times New Roman" w:cs="Times New Roman"/>
              </w:rPr>
            </w:pPr>
          </w:p>
          <w:p w14:paraId="0CED76AD" w14:textId="763843EB" w:rsidR="001C04AE" w:rsidRPr="00E84545" w:rsidRDefault="001C04AE" w:rsidP="002E097F">
            <w:pPr>
              <w:rPr>
                <w:rFonts w:ascii="Times New Roman" w:hAnsi="Times New Roman" w:cs="Times New Roman"/>
                <w:color w:val="4EA72E" w:themeColor="accent6"/>
              </w:rPr>
            </w:pPr>
            <w:r w:rsidRPr="001C04AE">
              <w:rPr>
                <w:rFonts w:ascii="Times New Roman" w:hAnsi="Times New Roman" w:cs="Times New Roman"/>
              </w:rPr>
              <w:t>Nimistu piirsuurusega seotud regulatsioonid vajavad veel edasist arutelu.</w:t>
            </w:r>
          </w:p>
        </w:tc>
      </w:tr>
      <w:tr w:rsidR="003249B0" w:rsidRPr="00E84545" w14:paraId="4930F07B" w14:textId="77777777" w:rsidTr="32D382CF">
        <w:tc>
          <w:tcPr>
            <w:tcW w:w="8075" w:type="dxa"/>
          </w:tcPr>
          <w:p w14:paraId="183B4657" w14:textId="7FE7B5D4" w:rsidR="003249B0" w:rsidRPr="00E84545" w:rsidRDefault="003249B0" w:rsidP="003249B0">
            <w:pPr>
              <w:rPr>
                <w:rFonts w:ascii="Times New Roman" w:hAnsi="Times New Roman" w:cs="Times New Roman"/>
              </w:rPr>
            </w:pPr>
            <w:r w:rsidRPr="00D15579">
              <w:rPr>
                <w:rFonts w:ascii="Times New Roman" w:hAnsi="Times New Roman" w:cs="Times New Roman"/>
              </w:rPr>
              <w:t>Tervisekeskuste kujunemine on seni toimunud esmatasandi tervishoiuteenuste turul toimuva nõudluse ja pakkumise tulemusena, kus perearstiabi osutajad moodustavad üksikpraksisest tõhusama teenuse osutamise üksuse. Seaduse tasemel kahte erinevat liiki tervisekeskuste eristamine ja piirkondliku vastutusega tervisekeskuste (PITK) loomine võib kaasa tuua võrdse kohtlemise probleemi. Ka ei kvalifitseeru piirkonna teistele perearstiabi osutajatele kokkulepitud tugiteenuste ja ajutise asenduse pakkumine üldhuviteenuseks (avalikku huvi pakkuvaks teenuseks). Samas on tervisekeskuses osutatavate konkreetsete teenuste pakett võimalik kokku leppida Tervisekassaga sõlmitavas rahastamise lepingus.</w:t>
            </w:r>
          </w:p>
        </w:tc>
        <w:tc>
          <w:tcPr>
            <w:tcW w:w="5919" w:type="dxa"/>
          </w:tcPr>
          <w:p w14:paraId="14DC2BD9" w14:textId="42D2473C" w:rsidR="003249B0" w:rsidRDefault="003249B0" w:rsidP="003249B0">
            <w:pPr>
              <w:rPr>
                <w:rFonts w:ascii="Times New Roman" w:hAnsi="Times New Roman" w:cs="Times New Roman"/>
              </w:rPr>
            </w:pPr>
            <w:r w:rsidRPr="32D382CF">
              <w:rPr>
                <w:rFonts w:ascii="Times New Roman" w:hAnsi="Times New Roman" w:cs="Times New Roman"/>
              </w:rPr>
              <w:t>Plaanis on edasi minna laiendatud ülesannetega tervisekeskuste (LÜTK) kontseptsiooniga. LÜTK täidab täiendavaid lisaülesandeid</w:t>
            </w:r>
            <w:r w:rsidR="00E33E54" w:rsidRPr="32D382CF">
              <w:rPr>
                <w:rFonts w:ascii="Times New Roman" w:hAnsi="Times New Roman" w:cs="Times New Roman"/>
              </w:rPr>
              <w:t xml:space="preserve"> tulenevalt</w:t>
            </w:r>
            <w:r w:rsidR="00C44A0D" w:rsidRPr="32D382CF">
              <w:rPr>
                <w:rFonts w:ascii="Times New Roman" w:hAnsi="Times New Roman" w:cs="Times New Roman"/>
              </w:rPr>
              <w:t xml:space="preserve"> piirkondlikust vajadusest. </w:t>
            </w:r>
            <w:r w:rsidR="00A106B6" w:rsidRPr="32D382CF">
              <w:rPr>
                <w:rFonts w:ascii="Times New Roman" w:hAnsi="Times New Roman" w:cs="Times New Roman"/>
              </w:rPr>
              <w:t>Täiendavalt on kavas reguleerida LÜTK-i</w:t>
            </w:r>
            <w:r w:rsidR="009C3564">
              <w:rPr>
                <w:rFonts w:ascii="Times New Roman" w:hAnsi="Times New Roman" w:cs="Times New Roman"/>
              </w:rPr>
              <w:t xml:space="preserve">ga lepingu sõlmimise </w:t>
            </w:r>
            <w:r w:rsidR="00A106B6" w:rsidRPr="32D382CF">
              <w:rPr>
                <w:rFonts w:ascii="Times New Roman" w:hAnsi="Times New Roman" w:cs="Times New Roman"/>
              </w:rPr>
              <w:t>põhimõtteid.</w:t>
            </w:r>
            <w:r w:rsidR="00425B8E" w:rsidRPr="32D382CF">
              <w:rPr>
                <w:rFonts w:ascii="Times New Roman" w:hAnsi="Times New Roman" w:cs="Times New Roman"/>
              </w:rPr>
              <w:t xml:space="preserve"> Teenuse osutamise pakett lepitakse kokku</w:t>
            </w:r>
            <w:r w:rsidR="1971F318" w:rsidRPr="32D382CF">
              <w:rPr>
                <w:rFonts w:ascii="Times New Roman" w:hAnsi="Times New Roman" w:cs="Times New Roman"/>
              </w:rPr>
              <w:t xml:space="preserve"> Tervisekassaga sõlmitavas</w:t>
            </w:r>
            <w:r w:rsidR="00425B8E" w:rsidRPr="32D382CF">
              <w:rPr>
                <w:rFonts w:ascii="Times New Roman" w:hAnsi="Times New Roman" w:cs="Times New Roman"/>
              </w:rPr>
              <w:t xml:space="preserve"> ravi rahastamise lepingus.</w:t>
            </w:r>
          </w:p>
          <w:p w14:paraId="35062E74" w14:textId="36A2F322" w:rsidR="00990BAA" w:rsidRPr="00E84545" w:rsidRDefault="00990BAA" w:rsidP="003249B0">
            <w:pPr>
              <w:rPr>
                <w:rFonts w:ascii="Times New Roman" w:hAnsi="Times New Roman" w:cs="Times New Roman"/>
                <w:color w:val="4EA72E" w:themeColor="accent6"/>
              </w:rPr>
            </w:pPr>
          </w:p>
        </w:tc>
      </w:tr>
      <w:tr w:rsidR="003249B0" w:rsidRPr="00E84545" w14:paraId="0B437E24" w14:textId="77777777" w:rsidTr="32D382CF">
        <w:tc>
          <w:tcPr>
            <w:tcW w:w="8075" w:type="dxa"/>
          </w:tcPr>
          <w:p w14:paraId="7518C985" w14:textId="5315E480" w:rsidR="003249B0" w:rsidRPr="00E84545" w:rsidRDefault="003249B0" w:rsidP="003249B0">
            <w:pPr>
              <w:rPr>
                <w:rFonts w:ascii="Times New Roman" w:hAnsi="Times New Roman" w:cs="Times New Roman"/>
              </w:rPr>
            </w:pPr>
            <w:r w:rsidRPr="00602D3B">
              <w:rPr>
                <w:rFonts w:ascii="Times New Roman" w:hAnsi="Times New Roman" w:cs="Times New Roman"/>
              </w:rPr>
              <w:t>VTK-s on tehtud ettepanek sätestada seaduses, et Tervisekassa võib välja kuulutada konkursi, et leida piirkondliku vastutusega tervisekeskus (või sõlmida halduslepingu laiendatud vastutusega tervisekeskusega), kes otsiks ja värbaks personali ning abistaks teatud ajal kogu piirkonna perearstikeskusi (ka enda tervisekeskust) uute perearstide, sealhulgas asendusarstide leidmisel. PITK täidaks Tervisekassa eest haldusülesannet. Tervisekassa tasuks teenuse eest, mis oleks määratletud lepingus. EVEA hinnangul ei peaks tervisekeskuse ülesandeks olema teistele tervisekeskustele uute perearstide ja asendusarstide leidmine. Olgugi, et tegemist on regulatiivselt jagatud turuga, toimub tervisekeskuste vahel ikkagi teatud määral konkurents. See puudutab ka tööjõu värbamist. Elutähtsa teenuse regulatsiooni kohaselt määratakse elutähtsa teenuse osutajaks konkreetne perearstiabi osutaja. Kaaluda tuleks selle regulatsiooni ajakohastamist, kui rohkem perearste asub tegutsema tervisekeskuste kaudu. Põhimõtteliselt saab toetada VTK-s väljapakutud  alternatiivi luua PITK-ide võrgustiku asemel osadele tervisekeskustele võimalus täita lisaülesandeid kokkuleppel Tervisekassaga ja seda eeskätt piirkondades, kus perearstiabi jätkusuutlikkus on kriitiline, samuti luua võimalused suunata perearstiabi järjepidevuse ja kättesaadavuse tagamiseks kriisipiirkondadesse lisaressursse ja muid toetusmeetmeid.</w:t>
            </w:r>
          </w:p>
        </w:tc>
        <w:tc>
          <w:tcPr>
            <w:tcW w:w="5919" w:type="dxa"/>
          </w:tcPr>
          <w:p w14:paraId="7A05CEAF" w14:textId="3A91CC25" w:rsidR="002E66DA" w:rsidRDefault="002E66DA" w:rsidP="002E66DA">
            <w:pPr>
              <w:rPr>
                <w:rFonts w:ascii="Times New Roman" w:hAnsi="Times New Roman" w:cs="Times New Roman"/>
              </w:rPr>
            </w:pPr>
            <w:r w:rsidRPr="32D382CF">
              <w:rPr>
                <w:rFonts w:ascii="Times New Roman" w:hAnsi="Times New Roman" w:cs="Times New Roman"/>
              </w:rPr>
              <w:t>Plaanis on edasi minna laiendatud ülesannetega tervisekeskuste (LÜTK) kontseptsiooniga. LÜTK täidab täiendavaid lisaülesandeid tulenevalt piirkondlikust vajadusest. Täiendavalt on kavas reguleerida LÜTK-i</w:t>
            </w:r>
            <w:r w:rsidR="009C3564">
              <w:rPr>
                <w:rFonts w:ascii="Times New Roman" w:hAnsi="Times New Roman" w:cs="Times New Roman"/>
              </w:rPr>
              <w:t>ga</w:t>
            </w:r>
            <w:r w:rsidRPr="32D382CF">
              <w:rPr>
                <w:rFonts w:ascii="Times New Roman" w:hAnsi="Times New Roman" w:cs="Times New Roman"/>
              </w:rPr>
              <w:t xml:space="preserve"> </w:t>
            </w:r>
            <w:r w:rsidR="009C3564">
              <w:rPr>
                <w:rFonts w:ascii="Times New Roman" w:hAnsi="Times New Roman" w:cs="Times New Roman"/>
              </w:rPr>
              <w:t xml:space="preserve">lepingu sõlmimise </w:t>
            </w:r>
            <w:r w:rsidRPr="32D382CF">
              <w:rPr>
                <w:rFonts w:ascii="Times New Roman" w:hAnsi="Times New Roman" w:cs="Times New Roman"/>
              </w:rPr>
              <w:t xml:space="preserve"> põhimõtteid. Teenuse osutamise pakett lepitakse kokku</w:t>
            </w:r>
            <w:r w:rsidR="6E96B30E" w:rsidRPr="32D382CF">
              <w:rPr>
                <w:rFonts w:ascii="Times New Roman" w:hAnsi="Times New Roman" w:cs="Times New Roman"/>
              </w:rPr>
              <w:t xml:space="preserve"> Tervisekassaga sõlmitavas</w:t>
            </w:r>
            <w:r w:rsidRPr="32D382CF">
              <w:rPr>
                <w:rFonts w:ascii="Times New Roman" w:hAnsi="Times New Roman" w:cs="Times New Roman"/>
              </w:rPr>
              <w:t xml:space="preserve"> ravi rahastamise lepingus.</w:t>
            </w:r>
          </w:p>
          <w:p w14:paraId="52F7E61B" w14:textId="77777777" w:rsidR="003249B0" w:rsidRPr="00E84545" w:rsidRDefault="003249B0" w:rsidP="003249B0">
            <w:pPr>
              <w:rPr>
                <w:rFonts w:ascii="Times New Roman" w:hAnsi="Times New Roman" w:cs="Times New Roman"/>
                <w:color w:val="4EA72E" w:themeColor="accent6"/>
              </w:rPr>
            </w:pPr>
          </w:p>
        </w:tc>
      </w:tr>
      <w:tr w:rsidR="003249B0" w:rsidRPr="00E84545" w14:paraId="2C7C8496" w14:textId="77777777" w:rsidTr="32D382CF">
        <w:tc>
          <w:tcPr>
            <w:tcW w:w="13994" w:type="dxa"/>
            <w:gridSpan w:val="2"/>
          </w:tcPr>
          <w:p w14:paraId="6DA34AE1" w14:textId="6B3A56A7" w:rsidR="003249B0" w:rsidRPr="00E84545" w:rsidRDefault="003249B0" w:rsidP="003249B0">
            <w:pPr>
              <w:jc w:val="center"/>
              <w:rPr>
                <w:rFonts w:ascii="Times New Roman" w:hAnsi="Times New Roman" w:cs="Times New Roman"/>
                <w:b/>
                <w:bCs/>
                <w:color w:val="4EA72E" w:themeColor="accent6"/>
              </w:rPr>
            </w:pPr>
            <w:r w:rsidRPr="00E84545">
              <w:rPr>
                <w:rFonts w:ascii="Times New Roman" w:hAnsi="Times New Roman" w:cs="Times New Roman"/>
                <w:b/>
                <w:bCs/>
              </w:rPr>
              <w:t>Eesti Perearstide Selts Tartumaa piirkond</w:t>
            </w:r>
          </w:p>
        </w:tc>
      </w:tr>
      <w:tr w:rsidR="003249B0" w:rsidRPr="00E84545" w14:paraId="53FAA785" w14:textId="77777777" w:rsidTr="32D382CF">
        <w:tc>
          <w:tcPr>
            <w:tcW w:w="8075" w:type="dxa"/>
          </w:tcPr>
          <w:p w14:paraId="6B1B0F4C" w14:textId="5F4242CF" w:rsidR="003249B0" w:rsidRPr="00E84545" w:rsidRDefault="003249B0" w:rsidP="003249B0">
            <w:pPr>
              <w:jc w:val="center"/>
              <w:rPr>
                <w:rFonts w:ascii="Times New Roman" w:hAnsi="Times New Roman" w:cs="Times New Roman"/>
              </w:rPr>
            </w:pPr>
            <w:r w:rsidRPr="00E84545">
              <w:rPr>
                <w:rFonts w:ascii="Times New Roman" w:hAnsi="Times New Roman" w:cs="Times New Roman"/>
                <w:b/>
                <w:bCs/>
              </w:rPr>
              <w:lastRenderedPageBreak/>
              <w:t>Märkused/ettepanekud</w:t>
            </w:r>
          </w:p>
        </w:tc>
        <w:tc>
          <w:tcPr>
            <w:tcW w:w="5919" w:type="dxa"/>
          </w:tcPr>
          <w:p w14:paraId="0826CFB2" w14:textId="0C09E87A" w:rsidR="003249B0" w:rsidRPr="00E84545" w:rsidRDefault="003249B0" w:rsidP="003249B0">
            <w:pPr>
              <w:jc w:val="center"/>
              <w:rPr>
                <w:rFonts w:ascii="Times New Roman" w:hAnsi="Times New Roman" w:cs="Times New Roman"/>
                <w:color w:val="4EA72E" w:themeColor="accent6"/>
              </w:rPr>
            </w:pPr>
            <w:r w:rsidRPr="00E84545">
              <w:rPr>
                <w:rFonts w:ascii="Times New Roman" w:hAnsi="Times New Roman" w:cs="Times New Roman"/>
                <w:b/>
                <w:bCs/>
              </w:rPr>
              <w:t>Seisukoht/Selgitus</w:t>
            </w:r>
          </w:p>
        </w:tc>
      </w:tr>
      <w:tr w:rsidR="003249B0" w:rsidRPr="00E84545" w14:paraId="68036245" w14:textId="77777777" w:rsidTr="32D382CF">
        <w:tc>
          <w:tcPr>
            <w:tcW w:w="8075" w:type="dxa"/>
          </w:tcPr>
          <w:p w14:paraId="10FFD714" w14:textId="502E5E72" w:rsidR="003249B0" w:rsidRPr="0066650F" w:rsidRDefault="003249B0" w:rsidP="003249B0">
            <w:pPr>
              <w:rPr>
                <w:rFonts w:ascii="Times New Roman" w:hAnsi="Times New Roman" w:cs="Times New Roman"/>
              </w:rPr>
            </w:pPr>
            <w:r w:rsidRPr="0066650F">
              <w:rPr>
                <w:rFonts w:ascii="Times New Roman" w:hAnsi="Times New Roman" w:cs="Times New Roman"/>
              </w:rPr>
              <w:t>PITK-i või laiendatud vastutusega tugikeskuse ülesandeid rakendatakse eeskätt piirkondades, kus perearstiabi jätkusuutlikkuse risk on andmepõhiselt tuvastatud ja vähem piiravad meetmed ei taga teenuse järjepidevust.</w:t>
            </w:r>
          </w:p>
        </w:tc>
        <w:tc>
          <w:tcPr>
            <w:tcW w:w="5919" w:type="dxa"/>
          </w:tcPr>
          <w:p w14:paraId="7E781438" w14:textId="7FB1A798" w:rsidR="003249B0" w:rsidRPr="0066650F" w:rsidRDefault="4C9B8AC8" w:rsidP="32D382CF">
            <w:pPr>
              <w:rPr>
                <w:rFonts w:ascii="Times New Roman" w:eastAsia="Arial" w:hAnsi="Times New Roman" w:cs="Times New Roman"/>
              </w:rPr>
            </w:pPr>
            <w:r w:rsidRPr="32D382CF">
              <w:rPr>
                <w:rFonts w:ascii="Times New Roman" w:eastAsia="Times New Roman" w:hAnsi="Times New Roman" w:cs="Times New Roman"/>
                <w:color w:val="000000" w:themeColor="text1"/>
              </w:rPr>
              <w:t>Vajalik luua õiguslik alus riski- ja kriisipiirkondade määramiseks ning piirkondlike meetmete rakendamiseks, mis võimaldavad reageerida piirkondlikele probleemidele paindlikumalt ja toetada perearstiabi jätkusuutlikkust.</w:t>
            </w:r>
          </w:p>
          <w:p w14:paraId="750EAF9C" w14:textId="323F7893" w:rsidR="003249B0" w:rsidRPr="0066650F" w:rsidRDefault="003249B0" w:rsidP="32D382CF">
            <w:pPr>
              <w:rPr>
                <w:rFonts w:ascii="Times New Roman" w:eastAsia="Times New Roman" w:hAnsi="Times New Roman" w:cs="Times New Roman"/>
                <w:color w:val="000000" w:themeColor="text1"/>
              </w:rPr>
            </w:pPr>
          </w:p>
          <w:p w14:paraId="65CE8218" w14:textId="74FA1334" w:rsidR="003249B0" w:rsidRPr="0066650F" w:rsidRDefault="4C9B8AC8" w:rsidP="32D382CF">
            <w:pPr>
              <w:rPr>
                <w:rFonts w:ascii="Times New Roman" w:eastAsia="Arial" w:hAnsi="Times New Roman" w:cs="Times New Roman"/>
              </w:rPr>
            </w:pPr>
            <w:r w:rsidRPr="32D382CF">
              <w:rPr>
                <w:rFonts w:ascii="Times New Roman" w:eastAsia="Arial" w:hAnsi="Times New Roman" w:cs="Times New Roman"/>
              </w:rPr>
              <w:t xml:space="preserve">TTKS § 11 täiendatakse uue lõikega </w:t>
            </w:r>
            <w:r w:rsidR="5CD78FE7" w:rsidRPr="32D382CF">
              <w:rPr>
                <w:rFonts w:ascii="Times New Roman" w:eastAsia="Arial" w:hAnsi="Times New Roman" w:cs="Times New Roman"/>
              </w:rPr>
              <w:t>1</w:t>
            </w:r>
            <w:r w:rsidR="5CD78FE7" w:rsidRPr="32D382CF">
              <w:rPr>
                <w:rFonts w:ascii="Times New Roman" w:eastAsia="Arial" w:hAnsi="Times New Roman" w:cs="Times New Roman"/>
                <w:vertAlign w:val="superscript"/>
              </w:rPr>
              <w:t>2</w:t>
            </w:r>
            <w:r w:rsidRPr="32D382CF">
              <w:rPr>
                <w:rFonts w:ascii="Times New Roman" w:eastAsia="Arial" w:hAnsi="Times New Roman" w:cs="Times New Roman"/>
              </w:rPr>
              <w:t>:</w:t>
            </w:r>
          </w:p>
          <w:p w14:paraId="00089B30" w14:textId="77777777" w:rsidR="003249B0" w:rsidRDefault="00944713" w:rsidP="32D382CF">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w:t>
            </w:r>
            <w:r w:rsidRPr="00944713">
              <w:rPr>
                <w:rFonts w:ascii="Times New Roman" w:eastAsia="Times New Roman" w:hAnsi="Times New Roman" w:cs="Times New Roman"/>
                <w:i/>
                <w:iCs/>
                <w:color w:val="000000" w:themeColor="text1"/>
              </w:rPr>
              <w:t>Perearstiabi regionaalse kättesaadavuse, järjepidevuse ja jätkusuutlikkuse tagamiseks kehtestab valdkonna eest vastutav minister määrusega riski- ja kriisipiirkondade määramise alused ning regionaalselt rakendatavad meetmed ja nende rakendamise tingimused ja korra.“</w:t>
            </w:r>
          </w:p>
          <w:p w14:paraId="41EACE91" w14:textId="12C248EC" w:rsidR="00944713" w:rsidRPr="0066650F" w:rsidRDefault="00944713" w:rsidP="32D382CF">
            <w:pPr>
              <w:rPr>
                <w:rFonts w:ascii="Times New Roman" w:eastAsia="Times New Roman" w:hAnsi="Times New Roman" w:cs="Times New Roman"/>
              </w:rPr>
            </w:pPr>
          </w:p>
        </w:tc>
      </w:tr>
      <w:tr w:rsidR="003249B0" w:rsidRPr="00E84545" w14:paraId="7885C17F" w14:textId="77777777" w:rsidTr="32D382CF">
        <w:tc>
          <w:tcPr>
            <w:tcW w:w="8075" w:type="dxa"/>
          </w:tcPr>
          <w:p w14:paraId="1976F9E0" w14:textId="2908DC07" w:rsidR="003249B0" w:rsidRPr="00E84545" w:rsidRDefault="003249B0" w:rsidP="003249B0">
            <w:pPr>
              <w:rPr>
                <w:rFonts w:ascii="Times New Roman" w:hAnsi="Times New Roman" w:cs="Times New Roman"/>
              </w:rPr>
            </w:pPr>
            <w:r w:rsidRPr="00D85748">
              <w:rPr>
                <w:rFonts w:ascii="Times New Roman" w:hAnsi="Times New Roman" w:cs="Times New Roman"/>
              </w:rPr>
              <w:t>Täpsustada nimistu ülemineku ja perearsti teenuseosutaja vahetamise korda viisil, mis tagab teenuse katkematu jätkumise, patsiendi valikuvabaduse ja tervisekeskuse mõistliku üleminekuaja. Perearsti nimistut ei või jätta tervisekeskuse teenindada üksnes tervisekeskuse majandusliku stabiilsuse kaalutlusel, kui nimistuga perearst jätkab samas teeninduspiirkonnas perearstiabi osutamist ja patsiendid soovivad temaga jätkata</w:t>
            </w:r>
            <w:r>
              <w:rPr>
                <w:rFonts w:ascii="Times New Roman" w:hAnsi="Times New Roman" w:cs="Times New Roman"/>
              </w:rPr>
              <w:t>.</w:t>
            </w:r>
          </w:p>
        </w:tc>
        <w:tc>
          <w:tcPr>
            <w:tcW w:w="5919" w:type="dxa"/>
          </w:tcPr>
          <w:p w14:paraId="045CD5E1" w14:textId="3679546C" w:rsidR="003249B0" w:rsidRPr="00E84545" w:rsidRDefault="003249B0" w:rsidP="003249B0">
            <w:pPr>
              <w:rPr>
                <w:rFonts w:ascii="Times New Roman" w:hAnsi="Times New Roman" w:cs="Times New Roman"/>
                <w:color w:val="4EA72E" w:themeColor="accent6"/>
              </w:rPr>
            </w:pPr>
            <w:r>
              <w:rPr>
                <w:rFonts w:ascii="Times New Roman" w:hAnsi="Times New Roman" w:cs="Times New Roman"/>
              </w:rPr>
              <w:t xml:space="preserve">Arvestatud, TTKS-i lisatud § </w:t>
            </w:r>
            <w:r w:rsidRPr="006C2C27">
              <w:rPr>
                <w:rFonts w:ascii="Times New Roman" w:hAnsi="Times New Roman" w:cs="Times New Roman"/>
              </w:rPr>
              <w:t>15</w:t>
            </w:r>
            <w:r w:rsidRPr="006C2C27">
              <w:rPr>
                <w:rFonts w:ascii="Times New Roman" w:hAnsi="Times New Roman" w:cs="Times New Roman"/>
                <w:vertAlign w:val="superscript"/>
              </w:rPr>
              <w:t>1 </w:t>
            </w:r>
            <w:r>
              <w:rPr>
                <w:rFonts w:ascii="Times New Roman" w:hAnsi="Times New Roman" w:cs="Times New Roman"/>
              </w:rPr>
              <w:t xml:space="preserve">täiendav lõige 4 </w:t>
            </w:r>
            <w:r w:rsidR="00944713">
              <w:rPr>
                <w:rFonts w:ascii="Times New Roman" w:hAnsi="Times New Roman" w:cs="Times New Roman"/>
              </w:rPr>
              <w:t>„</w:t>
            </w:r>
            <w:r w:rsidR="00944713" w:rsidRPr="00944713">
              <w:rPr>
                <w:rFonts w:ascii="Times New Roman" w:hAnsi="Times New Roman" w:cs="Times New Roman"/>
                <w:i/>
                <w:iCs/>
              </w:rPr>
              <w:t>Kui perearst soovib koos nimistuga tervisekeskusest lahkuda, siis on ta kohustatud teavitama tervisekeskust vähemalt kuus kuud ette, kui pooled ei ole teisiti kokku leppinud.“</w:t>
            </w:r>
          </w:p>
        </w:tc>
      </w:tr>
    </w:tbl>
    <w:p w14:paraId="114D8444" w14:textId="345405A6" w:rsidR="675D2FC8" w:rsidRDefault="675D2FC8"/>
    <w:p w14:paraId="05865D39" w14:textId="77777777" w:rsidR="0008531E" w:rsidRPr="00E84545" w:rsidRDefault="0008531E" w:rsidP="00AE4C22">
      <w:pPr>
        <w:rPr>
          <w:rFonts w:ascii="Times New Roman" w:hAnsi="Times New Roman" w:cs="Times New Roman"/>
        </w:rPr>
      </w:pPr>
    </w:p>
    <w:sectPr w:rsidR="0008531E" w:rsidRPr="00E84545" w:rsidSect="00BA02C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2451"/>
    <w:multiLevelType w:val="multilevel"/>
    <w:tmpl w:val="D02A73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81090"/>
    <w:multiLevelType w:val="multilevel"/>
    <w:tmpl w:val="13FAA4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E7E89"/>
    <w:multiLevelType w:val="multilevel"/>
    <w:tmpl w:val="242AC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C150992"/>
    <w:multiLevelType w:val="multilevel"/>
    <w:tmpl w:val="CEDEDA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4CE80C8"/>
    <w:multiLevelType w:val="hybridMultilevel"/>
    <w:tmpl w:val="8B14F44C"/>
    <w:lvl w:ilvl="0" w:tplc="B59A558C">
      <w:start w:val="1"/>
      <w:numFmt w:val="decimal"/>
      <w:lvlText w:val="1)"/>
      <w:lvlJc w:val="left"/>
      <w:pPr>
        <w:ind w:left="720" w:hanging="360"/>
      </w:pPr>
    </w:lvl>
    <w:lvl w:ilvl="1" w:tplc="505658C6">
      <w:start w:val="1"/>
      <w:numFmt w:val="lowerLetter"/>
      <w:lvlText w:val="%2."/>
      <w:lvlJc w:val="left"/>
      <w:pPr>
        <w:ind w:left="1440" w:hanging="360"/>
      </w:pPr>
    </w:lvl>
    <w:lvl w:ilvl="2" w:tplc="3F9E17D2">
      <w:start w:val="1"/>
      <w:numFmt w:val="lowerRoman"/>
      <w:lvlText w:val="%3."/>
      <w:lvlJc w:val="right"/>
      <w:pPr>
        <w:ind w:left="2160" w:hanging="180"/>
      </w:pPr>
    </w:lvl>
    <w:lvl w:ilvl="3" w:tplc="32ECFAB0">
      <w:start w:val="1"/>
      <w:numFmt w:val="decimal"/>
      <w:lvlText w:val="%4."/>
      <w:lvlJc w:val="left"/>
      <w:pPr>
        <w:ind w:left="2880" w:hanging="360"/>
      </w:pPr>
    </w:lvl>
    <w:lvl w:ilvl="4" w:tplc="D968F048">
      <w:start w:val="1"/>
      <w:numFmt w:val="lowerLetter"/>
      <w:lvlText w:val="%5."/>
      <w:lvlJc w:val="left"/>
      <w:pPr>
        <w:ind w:left="3600" w:hanging="360"/>
      </w:pPr>
    </w:lvl>
    <w:lvl w:ilvl="5" w:tplc="92BC9AFE">
      <w:start w:val="1"/>
      <w:numFmt w:val="lowerRoman"/>
      <w:lvlText w:val="%6."/>
      <w:lvlJc w:val="right"/>
      <w:pPr>
        <w:ind w:left="4320" w:hanging="180"/>
      </w:pPr>
    </w:lvl>
    <w:lvl w:ilvl="6" w:tplc="A350ACFE">
      <w:start w:val="1"/>
      <w:numFmt w:val="decimal"/>
      <w:lvlText w:val="%7."/>
      <w:lvlJc w:val="left"/>
      <w:pPr>
        <w:ind w:left="5040" w:hanging="360"/>
      </w:pPr>
    </w:lvl>
    <w:lvl w:ilvl="7" w:tplc="0090E16C">
      <w:start w:val="1"/>
      <w:numFmt w:val="lowerLetter"/>
      <w:lvlText w:val="%8."/>
      <w:lvlJc w:val="left"/>
      <w:pPr>
        <w:ind w:left="5760" w:hanging="360"/>
      </w:pPr>
    </w:lvl>
    <w:lvl w:ilvl="8" w:tplc="72B28636">
      <w:start w:val="1"/>
      <w:numFmt w:val="lowerRoman"/>
      <w:lvlText w:val="%9."/>
      <w:lvlJc w:val="right"/>
      <w:pPr>
        <w:ind w:left="6480" w:hanging="180"/>
      </w:pPr>
    </w:lvl>
  </w:abstractNum>
  <w:abstractNum w:abstractNumId="5" w15:restartNumberingAfterBreak="0">
    <w:nsid w:val="2D013FEA"/>
    <w:multiLevelType w:val="multilevel"/>
    <w:tmpl w:val="81D40D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54028"/>
    <w:multiLevelType w:val="multilevel"/>
    <w:tmpl w:val="1F24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315C6A"/>
    <w:multiLevelType w:val="multilevel"/>
    <w:tmpl w:val="4268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C2520D"/>
    <w:multiLevelType w:val="multilevel"/>
    <w:tmpl w:val="0E3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4768A6"/>
    <w:multiLevelType w:val="multilevel"/>
    <w:tmpl w:val="019AE8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52582"/>
    <w:multiLevelType w:val="hybridMultilevel"/>
    <w:tmpl w:val="E080285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B2B2A7A"/>
    <w:multiLevelType w:val="multilevel"/>
    <w:tmpl w:val="7804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C96DA4"/>
    <w:multiLevelType w:val="multilevel"/>
    <w:tmpl w:val="F61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FC0B72"/>
    <w:multiLevelType w:val="multilevel"/>
    <w:tmpl w:val="91502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943020"/>
    <w:multiLevelType w:val="multilevel"/>
    <w:tmpl w:val="DEE219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68A0A5D"/>
    <w:multiLevelType w:val="multilevel"/>
    <w:tmpl w:val="61B4AB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F91DEF"/>
    <w:multiLevelType w:val="multilevel"/>
    <w:tmpl w:val="FE1AC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42C0706"/>
    <w:multiLevelType w:val="multilevel"/>
    <w:tmpl w:val="62806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150344">
    <w:abstractNumId w:val="4"/>
  </w:num>
  <w:num w:numId="2" w16cid:durableId="1099595181">
    <w:abstractNumId w:val="11"/>
  </w:num>
  <w:num w:numId="3" w16cid:durableId="1163009573">
    <w:abstractNumId w:val="15"/>
  </w:num>
  <w:num w:numId="4" w16cid:durableId="1175682646">
    <w:abstractNumId w:val="8"/>
  </w:num>
  <w:num w:numId="5" w16cid:durableId="1207451556">
    <w:abstractNumId w:val="3"/>
  </w:num>
  <w:num w:numId="6" w16cid:durableId="1215966084">
    <w:abstractNumId w:val="13"/>
  </w:num>
  <w:num w:numId="7" w16cid:durableId="1393502354">
    <w:abstractNumId w:val="16"/>
  </w:num>
  <w:num w:numId="8" w16cid:durableId="1457022417">
    <w:abstractNumId w:val="7"/>
  </w:num>
  <w:num w:numId="9" w16cid:durableId="1704554776">
    <w:abstractNumId w:val="0"/>
  </w:num>
  <w:num w:numId="10" w16cid:durableId="1803814787">
    <w:abstractNumId w:val="10"/>
  </w:num>
  <w:num w:numId="11" w16cid:durableId="195196985">
    <w:abstractNumId w:val="12"/>
  </w:num>
  <w:num w:numId="12" w16cid:durableId="635531064">
    <w:abstractNumId w:val="5"/>
  </w:num>
  <w:num w:numId="13" w16cid:durableId="678120348">
    <w:abstractNumId w:val="1"/>
  </w:num>
  <w:num w:numId="14" w16cid:durableId="779568752">
    <w:abstractNumId w:val="9"/>
  </w:num>
  <w:num w:numId="15" w16cid:durableId="788473770">
    <w:abstractNumId w:val="6"/>
  </w:num>
  <w:num w:numId="16" w16cid:durableId="877663881">
    <w:abstractNumId w:val="17"/>
  </w:num>
  <w:num w:numId="17" w16cid:durableId="88045520">
    <w:abstractNumId w:val="2"/>
  </w:num>
  <w:num w:numId="18" w16cid:durableId="980698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1E"/>
    <w:rsid w:val="000070F6"/>
    <w:rsid w:val="00022B78"/>
    <w:rsid w:val="00032F7B"/>
    <w:rsid w:val="00040F0B"/>
    <w:rsid w:val="000410CC"/>
    <w:rsid w:val="00065577"/>
    <w:rsid w:val="00073893"/>
    <w:rsid w:val="0008531E"/>
    <w:rsid w:val="00091F2F"/>
    <w:rsid w:val="0009372F"/>
    <w:rsid w:val="00095AE4"/>
    <w:rsid w:val="00095C44"/>
    <w:rsid w:val="000A1335"/>
    <w:rsid w:val="000A2FD1"/>
    <w:rsid w:val="000C0137"/>
    <w:rsid w:val="000C104F"/>
    <w:rsid w:val="000C5A03"/>
    <w:rsid w:val="000D35FF"/>
    <w:rsid w:val="000D4EE0"/>
    <w:rsid w:val="000D7686"/>
    <w:rsid w:val="000E048D"/>
    <w:rsid w:val="000E480A"/>
    <w:rsid w:val="000F6928"/>
    <w:rsid w:val="000F7592"/>
    <w:rsid w:val="001013A2"/>
    <w:rsid w:val="001071EA"/>
    <w:rsid w:val="00113405"/>
    <w:rsid w:val="001171D2"/>
    <w:rsid w:val="00122BFA"/>
    <w:rsid w:val="00123C6C"/>
    <w:rsid w:val="00125A64"/>
    <w:rsid w:val="00134BC2"/>
    <w:rsid w:val="001407EF"/>
    <w:rsid w:val="001453BB"/>
    <w:rsid w:val="00147424"/>
    <w:rsid w:val="0015861C"/>
    <w:rsid w:val="00164CC5"/>
    <w:rsid w:val="00193D3F"/>
    <w:rsid w:val="001B1CD5"/>
    <w:rsid w:val="001B550E"/>
    <w:rsid w:val="001B74A0"/>
    <w:rsid w:val="001BAF6D"/>
    <w:rsid w:val="001C04A7"/>
    <w:rsid w:val="001C04AE"/>
    <w:rsid w:val="001D10E9"/>
    <w:rsid w:val="001D3E9C"/>
    <w:rsid w:val="001E747F"/>
    <w:rsid w:val="001F1D90"/>
    <w:rsid w:val="001F3C2A"/>
    <w:rsid w:val="00204A80"/>
    <w:rsid w:val="00206627"/>
    <w:rsid w:val="00216A04"/>
    <w:rsid w:val="002245D8"/>
    <w:rsid w:val="0024707A"/>
    <w:rsid w:val="002544F6"/>
    <w:rsid w:val="002572DA"/>
    <w:rsid w:val="00264FF4"/>
    <w:rsid w:val="00272A2D"/>
    <w:rsid w:val="00273B2D"/>
    <w:rsid w:val="00277583"/>
    <w:rsid w:val="00280D56"/>
    <w:rsid w:val="00283A56"/>
    <w:rsid w:val="0029479F"/>
    <w:rsid w:val="002A6715"/>
    <w:rsid w:val="002A6EA0"/>
    <w:rsid w:val="002B264A"/>
    <w:rsid w:val="002C05C0"/>
    <w:rsid w:val="002D1D0E"/>
    <w:rsid w:val="002E097F"/>
    <w:rsid w:val="002E66DA"/>
    <w:rsid w:val="002F7B2F"/>
    <w:rsid w:val="003061DF"/>
    <w:rsid w:val="00313F02"/>
    <w:rsid w:val="003249B0"/>
    <w:rsid w:val="003322D9"/>
    <w:rsid w:val="00340DF6"/>
    <w:rsid w:val="00352C68"/>
    <w:rsid w:val="0035646D"/>
    <w:rsid w:val="0036158C"/>
    <w:rsid w:val="00363A0D"/>
    <w:rsid w:val="00371526"/>
    <w:rsid w:val="003863F6"/>
    <w:rsid w:val="003926F1"/>
    <w:rsid w:val="003A7974"/>
    <w:rsid w:val="003B3E8B"/>
    <w:rsid w:val="003D2B5F"/>
    <w:rsid w:val="003F37F8"/>
    <w:rsid w:val="003F4AB8"/>
    <w:rsid w:val="00401626"/>
    <w:rsid w:val="004152F7"/>
    <w:rsid w:val="00416B91"/>
    <w:rsid w:val="004176DD"/>
    <w:rsid w:val="00425170"/>
    <w:rsid w:val="00425B8E"/>
    <w:rsid w:val="00431E10"/>
    <w:rsid w:val="00433C6F"/>
    <w:rsid w:val="00441887"/>
    <w:rsid w:val="004555E9"/>
    <w:rsid w:val="00487DE9"/>
    <w:rsid w:val="004A52C5"/>
    <w:rsid w:val="004B325C"/>
    <w:rsid w:val="004B4931"/>
    <w:rsid w:val="004D5B1A"/>
    <w:rsid w:val="004D68B8"/>
    <w:rsid w:val="004D7E05"/>
    <w:rsid w:val="004F2DA4"/>
    <w:rsid w:val="004F6497"/>
    <w:rsid w:val="00500EE7"/>
    <w:rsid w:val="00516627"/>
    <w:rsid w:val="00521394"/>
    <w:rsid w:val="00523D3A"/>
    <w:rsid w:val="0053541B"/>
    <w:rsid w:val="00535B6F"/>
    <w:rsid w:val="00540A88"/>
    <w:rsid w:val="00541278"/>
    <w:rsid w:val="005472EA"/>
    <w:rsid w:val="00561749"/>
    <w:rsid w:val="00593512"/>
    <w:rsid w:val="00595909"/>
    <w:rsid w:val="005B0AA3"/>
    <w:rsid w:val="005C1DD8"/>
    <w:rsid w:val="005C7A6D"/>
    <w:rsid w:val="005D0C8F"/>
    <w:rsid w:val="005D6936"/>
    <w:rsid w:val="005E1A58"/>
    <w:rsid w:val="00602D3B"/>
    <w:rsid w:val="00622BE4"/>
    <w:rsid w:val="00642326"/>
    <w:rsid w:val="00643292"/>
    <w:rsid w:val="006447F7"/>
    <w:rsid w:val="00644D3D"/>
    <w:rsid w:val="0064688B"/>
    <w:rsid w:val="00655D2B"/>
    <w:rsid w:val="00661ACD"/>
    <w:rsid w:val="006646FE"/>
    <w:rsid w:val="0066650F"/>
    <w:rsid w:val="00677DB9"/>
    <w:rsid w:val="0068610D"/>
    <w:rsid w:val="00696E3A"/>
    <w:rsid w:val="006A2964"/>
    <w:rsid w:val="006A3D72"/>
    <w:rsid w:val="006A45E7"/>
    <w:rsid w:val="006B7090"/>
    <w:rsid w:val="006C2C27"/>
    <w:rsid w:val="006C5F58"/>
    <w:rsid w:val="006C7C83"/>
    <w:rsid w:val="006D7E58"/>
    <w:rsid w:val="006E0ECF"/>
    <w:rsid w:val="006E2BED"/>
    <w:rsid w:val="0070333E"/>
    <w:rsid w:val="00725598"/>
    <w:rsid w:val="00732B37"/>
    <w:rsid w:val="00751593"/>
    <w:rsid w:val="00757B51"/>
    <w:rsid w:val="00762FE0"/>
    <w:rsid w:val="00763BD3"/>
    <w:rsid w:val="00763D82"/>
    <w:rsid w:val="007645E8"/>
    <w:rsid w:val="007A58C1"/>
    <w:rsid w:val="007B30DB"/>
    <w:rsid w:val="007C4B4E"/>
    <w:rsid w:val="007D146B"/>
    <w:rsid w:val="007D181F"/>
    <w:rsid w:val="007D734D"/>
    <w:rsid w:val="007E29B5"/>
    <w:rsid w:val="00804FB4"/>
    <w:rsid w:val="00824571"/>
    <w:rsid w:val="008253DF"/>
    <w:rsid w:val="00834AA0"/>
    <w:rsid w:val="0083747E"/>
    <w:rsid w:val="00841DA6"/>
    <w:rsid w:val="00843F53"/>
    <w:rsid w:val="00845260"/>
    <w:rsid w:val="008520EE"/>
    <w:rsid w:val="00854F67"/>
    <w:rsid w:val="00865CB0"/>
    <w:rsid w:val="00874425"/>
    <w:rsid w:val="0088746D"/>
    <w:rsid w:val="00892957"/>
    <w:rsid w:val="00896A5A"/>
    <w:rsid w:val="008B033A"/>
    <w:rsid w:val="008B36FF"/>
    <w:rsid w:val="008B3FCF"/>
    <w:rsid w:val="008C0AED"/>
    <w:rsid w:val="008D27D6"/>
    <w:rsid w:val="008D7305"/>
    <w:rsid w:val="008E2904"/>
    <w:rsid w:val="008EB481"/>
    <w:rsid w:val="008F0564"/>
    <w:rsid w:val="008F6E79"/>
    <w:rsid w:val="0090438D"/>
    <w:rsid w:val="00911CC1"/>
    <w:rsid w:val="009220A0"/>
    <w:rsid w:val="009252DF"/>
    <w:rsid w:val="0092610D"/>
    <w:rsid w:val="009266B7"/>
    <w:rsid w:val="0094166D"/>
    <w:rsid w:val="00944713"/>
    <w:rsid w:val="00946429"/>
    <w:rsid w:val="00960768"/>
    <w:rsid w:val="00961968"/>
    <w:rsid w:val="00970DF8"/>
    <w:rsid w:val="00972CB8"/>
    <w:rsid w:val="0097523A"/>
    <w:rsid w:val="00977E82"/>
    <w:rsid w:val="00990BAA"/>
    <w:rsid w:val="0099242C"/>
    <w:rsid w:val="00996F69"/>
    <w:rsid w:val="009A582B"/>
    <w:rsid w:val="009B138D"/>
    <w:rsid w:val="009B74FE"/>
    <w:rsid w:val="009C3564"/>
    <w:rsid w:val="009D09A8"/>
    <w:rsid w:val="009D687C"/>
    <w:rsid w:val="009E287E"/>
    <w:rsid w:val="009E3B58"/>
    <w:rsid w:val="00A00990"/>
    <w:rsid w:val="00A02F8A"/>
    <w:rsid w:val="00A106B6"/>
    <w:rsid w:val="00A1479B"/>
    <w:rsid w:val="00A32E49"/>
    <w:rsid w:val="00A351C6"/>
    <w:rsid w:val="00A476CD"/>
    <w:rsid w:val="00A55CB9"/>
    <w:rsid w:val="00A81E53"/>
    <w:rsid w:val="00A82026"/>
    <w:rsid w:val="00A82169"/>
    <w:rsid w:val="00A8246A"/>
    <w:rsid w:val="00A8291D"/>
    <w:rsid w:val="00A84C49"/>
    <w:rsid w:val="00A8543B"/>
    <w:rsid w:val="00A86EA3"/>
    <w:rsid w:val="00A9542A"/>
    <w:rsid w:val="00AA37FC"/>
    <w:rsid w:val="00AB7561"/>
    <w:rsid w:val="00AD0AB7"/>
    <w:rsid w:val="00AD4B2C"/>
    <w:rsid w:val="00AE3DEF"/>
    <w:rsid w:val="00AE4C22"/>
    <w:rsid w:val="00AE53FA"/>
    <w:rsid w:val="00AF2233"/>
    <w:rsid w:val="00B10ACF"/>
    <w:rsid w:val="00B11789"/>
    <w:rsid w:val="00B13AEA"/>
    <w:rsid w:val="00B22344"/>
    <w:rsid w:val="00B23A45"/>
    <w:rsid w:val="00B302EF"/>
    <w:rsid w:val="00B30992"/>
    <w:rsid w:val="00B3179A"/>
    <w:rsid w:val="00B34063"/>
    <w:rsid w:val="00B42B2B"/>
    <w:rsid w:val="00B624A8"/>
    <w:rsid w:val="00B6672C"/>
    <w:rsid w:val="00B70178"/>
    <w:rsid w:val="00B72DEE"/>
    <w:rsid w:val="00B82EC7"/>
    <w:rsid w:val="00B871EA"/>
    <w:rsid w:val="00B9034D"/>
    <w:rsid w:val="00B95F90"/>
    <w:rsid w:val="00B96304"/>
    <w:rsid w:val="00BA02C6"/>
    <w:rsid w:val="00BA3EF2"/>
    <w:rsid w:val="00BB13E7"/>
    <w:rsid w:val="00BB1A56"/>
    <w:rsid w:val="00BB23BA"/>
    <w:rsid w:val="00BB3EA3"/>
    <w:rsid w:val="00BB7EA4"/>
    <w:rsid w:val="00BC0F18"/>
    <w:rsid w:val="00BC4C63"/>
    <w:rsid w:val="00BD18E9"/>
    <w:rsid w:val="00BE6754"/>
    <w:rsid w:val="00C35550"/>
    <w:rsid w:val="00C41BBE"/>
    <w:rsid w:val="00C44A0D"/>
    <w:rsid w:val="00C53C33"/>
    <w:rsid w:val="00C570C6"/>
    <w:rsid w:val="00C6100C"/>
    <w:rsid w:val="00C70B3C"/>
    <w:rsid w:val="00C72373"/>
    <w:rsid w:val="00C7498A"/>
    <w:rsid w:val="00C85A90"/>
    <w:rsid w:val="00C93986"/>
    <w:rsid w:val="00CA19D8"/>
    <w:rsid w:val="00CB2A6A"/>
    <w:rsid w:val="00CB336E"/>
    <w:rsid w:val="00CC2419"/>
    <w:rsid w:val="00CC5A93"/>
    <w:rsid w:val="00CD08F1"/>
    <w:rsid w:val="00CD916C"/>
    <w:rsid w:val="00CE6FB9"/>
    <w:rsid w:val="00D15579"/>
    <w:rsid w:val="00D222F3"/>
    <w:rsid w:val="00D222FE"/>
    <w:rsid w:val="00D314FB"/>
    <w:rsid w:val="00D34CB0"/>
    <w:rsid w:val="00D3536D"/>
    <w:rsid w:val="00D35D9A"/>
    <w:rsid w:val="00D36DAA"/>
    <w:rsid w:val="00D41448"/>
    <w:rsid w:val="00D420AB"/>
    <w:rsid w:val="00D54FF2"/>
    <w:rsid w:val="00D81B39"/>
    <w:rsid w:val="00D81CEB"/>
    <w:rsid w:val="00D83D92"/>
    <w:rsid w:val="00D85748"/>
    <w:rsid w:val="00D91341"/>
    <w:rsid w:val="00D9250B"/>
    <w:rsid w:val="00DA51C6"/>
    <w:rsid w:val="00DB2765"/>
    <w:rsid w:val="00DC072F"/>
    <w:rsid w:val="00DC40D9"/>
    <w:rsid w:val="00DD57A2"/>
    <w:rsid w:val="00DE0B97"/>
    <w:rsid w:val="00DE1D73"/>
    <w:rsid w:val="00DE4BC0"/>
    <w:rsid w:val="00DF385D"/>
    <w:rsid w:val="00DF4712"/>
    <w:rsid w:val="00E0008B"/>
    <w:rsid w:val="00E001CA"/>
    <w:rsid w:val="00E203CF"/>
    <w:rsid w:val="00E23894"/>
    <w:rsid w:val="00E26CA8"/>
    <w:rsid w:val="00E33E54"/>
    <w:rsid w:val="00E36411"/>
    <w:rsid w:val="00E43807"/>
    <w:rsid w:val="00E523D4"/>
    <w:rsid w:val="00E562C1"/>
    <w:rsid w:val="00E578B4"/>
    <w:rsid w:val="00E738BB"/>
    <w:rsid w:val="00E84545"/>
    <w:rsid w:val="00EB024C"/>
    <w:rsid w:val="00EB2F88"/>
    <w:rsid w:val="00EC1325"/>
    <w:rsid w:val="00EC289B"/>
    <w:rsid w:val="00EC4F3A"/>
    <w:rsid w:val="00EC7DB6"/>
    <w:rsid w:val="00ED5812"/>
    <w:rsid w:val="00EE6F62"/>
    <w:rsid w:val="00EF5C46"/>
    <w:rsid w:val="00F12054"/>
    <w:rsid w:val="00F23806"/>
    <w:rsid w:val="00F3010D"/>
    <w:rsid w:val="00F419E0"/>
    <w:rsid w:val="00F4259C"/>
    <w:rsid w:val="00F62C51"/>
    <w:rsid w:val="00F744B8"/>
    <w:rsid w:val="00F95ECF"/>
    <w:rsid w:val="00F97DEF"/>
    <w:rsid w:val="00FA41E2"/>
    <w:rsid w:val="00FA6F99"/>
    <w:rsid w:val="00FB1983"/>
    <w:rsid w:val="00FC5B6E"/>
    <w:rsid w:val="00FD05A8"/>
    <w:rsid w:val="00FF0B9A"/>
    <w:rsid w:val="01152923"/>
    <w:rsid w:val="012D63A1"/>
    <w:rsid w:val="01D1FA9B"/>
    <w:rsid w:val="02B805A1"/>
    <w:rsid w:val="02ECE6C7"/>
    <w:rsid w:val="030685DC"/>
    <w:rsid w:val="0324B642"/>
    <w:rsid w:val="0356FA4F"/>
    <w:rsid w:val="03A089A3"/>
    <w:rsid w:val="0431829B"/>
    <w:rsid w:val="0438CF61"/>
    <w:rsid w:val="044833BB"/>
    <w:rsid w:val="0464587D"/>
    <w:rsid w:val="049AB031"/>
    <w:rsid w:val="04A1B7EA"/>
    <w:rsid w:val="04EEC9DC"/>
    <w:rsid w:val="0507FA71"/>
    <w:rsid w:val="051CAA74"/>
    <w:rsid w:val="053BA4EA"/>
    <w:rsid w:val="055A88CA"/>
    <w:rsid w:val="05742371"/>
    <w:rsid w:val="059348D6"/>
    <w:rsid w:val="05C61240"/>
    <w:rsid w:val="05EFBC75"/>
    <w:rsid w:val="06169BBB"/>
    <w:rsid w:val="0634338F"/>
    <w:rsid w:val="06841115"/>
    <w:rsid w:val="0690B01E"/>
    <w:rsid w:val="06AE621C"/>
    <w:rsid w:val="06B568C6"/>
    <w:rsid w:val="06D89CF0"/>
    <w:rsid w:val="071B8E97"/>
    <w:rsid w:val="078C58FA"/>
    <w:rsid w:val="07E7D8C7"/>
    <w:rsid w:val="07FADCEB"/>
    <w:rsid w:val="08157C37"/>
    <w:rsid w:val="085658CC"/>
    <w:rsid w:val="089F26FA"/>
    <w:rsid w:val="08A03C92"/>
    <w:rsid w:val="08E961F7"/>
    <w:rsid w:val="09428BFB"/>
    <w:rsid w:val="094C44EC"/>
    <w:rsid w:val="09607FE2"/>
    <w:rsid w:val="0974D597"/>
    <w:rsid w:val="098E0F13"/>
    <w:rsid w:val="09ED33BE"/>
    <w:rsid w:val="09F197F3"/>
    <w:rsid w:val="0A2F7202"/>
    <w:rsid w:val="0A3DB2E1"/>
    <w:rsid w:val="0A5DE0B7"/>
    <w:rsid w:val="0A71136D"/>
    <w:rsid w:val="0A839352"/>
    <w:rsid w:val="0BA0266E"/>
    <w:rsid w:val="0C47DEEC"/>
    <w:rsid w:val="0C5637C0"/>
    <w:rsid w:val="0CF60168"/>
    <w:rsid w:val="0CF6F30F"/>
    <w:rsid w:val="0CFB7C47"/>
    <w:rsid w:val="0D027A2A"/>
    <w:rsid w:val="0D659254"/>
    <w:rsid w:val="0D6BDD0E"/>
    <w:rsid w:val="0D71CA5D"/>
    <w:rsid w:val="0D74B340"/>
    <w:rsid w:val="0D8A340B"/>
    <w:rsid w:val="0E012935"/>
    <w:rsid w:val="0E1EB6DD"/>
    <w:rsid w:val="0E2A88CA"/>
    <w:rsid w:val="0E39E7E8"/>
    <w:rsid w:val="0E699686"/>
    <w:rsid w:val="0E83062C"/>
    <w:rsid w:val="0EA28F74"/>
    <w:rsid w:val="0ECBF877"/>
    <w:rsid w:val="0ED1D0A9"/>
    <w:rsid w:val="0ED48548"/>
    <w:rsid w:val="0F520CF5"/>
    <w:rsid w:val="0FB37B40"/>
    <w:rsid w:val="0FD892A6"/>
    <w:rsid w:val="0FE397EC"/>
    <w:rsid w:val="10266D43"/>
    <w:rsid w:val="103F3869"/>
    <w:rsid w:val="108BD7BE"/>
    <w:rsid w:val="10A6A601"/>
    <w:rsid w:val="11170304"/>
    <w:rsid w:val="115B513A"/>
    <w:rsid w:val="11A488E8"/>
    <w:rsid w:val="11C5F1CC"/>
    <w:rsid w:val="11FA05E6"/>
    <w:rsid w:val="1228CCB6"/>
    <w:rsid w:val="1243DCAB"/>
    <w:rsid w:val="1244ABE0"/>
    <w:rsid w:val="124D525F"/>
    <w:rsid w:val="125FA8E4"/>
    <w:rsid w:val="1286C4AF"/>
    <w:rsid w:val="130AC434"/>
    <w:rsid w:val="131DE09B"/>
    <w:rsid w:val="133FC508"/>
    <w:rsid w:val="138565EA"/>
    <w:rsid w:val="13AD6AE2"/>
    <w:rsid w:val="13BAC8C9"/>
    <w:rsid w:val="13D789FC"/>
    <w:rsid w:val="1403FAF7"/>
    <w:rsid w:val="142C1E19"/>
    <w:rsid w:val="1475D2DE"/>
    <w:rsid w:val="14E7D54C"/>
    <w:rsid w:val="15424663"/>
    <w:rsid w:val="157077BE"/>
    <w:rsid w:val="157DA30D"/>
    <w:rsid w:val="159D8C02"/>
    <w:rsid w:val="1626D0DD"/>
    <w:rsid w:val="16455CFF"/>
    <w:rsid w:val="1660F6CE"/>
    <w:rsid w:val="1661FF63"/>
    <w:rsid w:val="16685616"/>
    <w:rsid w:val="16803055"/>
    <w:rsid w:val="1694F9B8"/>
    <w:rsid w:val="16A68394"/>
    <w:rsid w:val="16C18C21"/>
    <w:rsid w:val="16DFCD0D"/>
    <w:rsid w:val="16FC41D4"/>
    <w:rsid w:val="170059AE"/>
    <w:rsid w:val="174EA30E"/>
    <w:rsid w:val="1792F145"/>
    <w:rsid w:val="17CC135B"/>
    <w:rsid w:val="17E3EAFF"/>
    <w:rsid w:val="1803DB4A"/>
    <w:rsid w:val="18340EEB"/>
    <w:rsid w:val="185665E5"/>
    <w:rsid w:val="1856660E"/>
    <w:rsid w:val="185D1F73"/>
    <w:rsid w:val="191D2CAF"/>
    <w:rsid w:val="1949F9CA"/>
    <w:rsid w:val="196DE63C"/>
    <w:rsid w:val="1971F318"/>
    <w:rsid w:val="19A5DD8E"/>
    <w:rsid w:val="19AED6A3"/>
    <w:rsid w:val="19BF5D03"/>
    <w:rsid w:val="19FDFF85"/>
    <w:rsid w:val="1A1C045C"/>
    <w:rsid w:val="1A35B086"/>
    <w:rsid w:val="1A3B8DBA"/>
    <w:rsid w:val="1AAE7BCD"/>
    <w:rsid w:val="1AECA87B"/>
    <w:rsid w:val="1B046E64"/>
    <w:rsid w:val="1B09AA23"/>
    <w:rsid w:val="1B16DD6A"/>
    <w:rsid w:val="1B2A3B20"/>
    <w:rsid w:val="1B5F2F5E"/>
    <w:rsid w:val="1B81DB92"/>
    <w:rsid w:val="1BB56D4C"/>
    <w:rsid w:val="1C29BA64"/>
    <w:rsid w:val="1C69F4DB"/>
    <w:rsid w:val="1C8DB492"/>
    <w:rsid w:val="1CD3CBDD"/>
    <w:rsid w:val="1CECCEC0"/>
    <w:rsid w:val="1D3A4841"/>
    <w:rsid w:val="1D4B3997"/>
    <w:rsid w:val="1DFCADD4"/>
    <w:rsid w:val="1E3BEE8E"/>
    <w:rsid w:val="1E6F279D"/>
    <w:rsid w:val="1F462BA0"/>
    <w:rsid w:val="207A8A4D"/>
    <w:rsid w:val="2095C786"/>
    <w:rsid w:val="20CCCDBE"/>
    <w:rsid w:val="2156BE26"/>
    <w:rsid w:val="21588FAA"/>
    <w:rsid w:val="218D8182"/>
    <w:rsid w:val="2193C433"/>
    <w:rsid w:val="21E0925B"/>
    <w:rsid w:val="2207C52B"/>
    <w:rsid w:val="220C7F8B"/>
    <w:rsid w:val="220F85BD"/>
    <w:rsid w:val="2235B0DF"/>
    <w:rsid w:val="228388F4"/>
    <w:rsid w:val="22BA74A1"/>
    <w:rsid w:val="231749A2"/>
    <w:rsid w:val="2353380A"/>
    <w:rsid w:val="237AD28B"/>
    <w:rsid w:val="23AB653D"/>
    <w:rsid w:val="23B0394C"/>
    <w:rsid w:val="23B36BE5"/>
    <w:rsid w:val="23E60FC6"/>
    <w:rsid w:val="2402B7C5"/>
    <w:rsid w:val="245598AF"/>
    <w:rsid w:val="247115C1"/>
    <w:rsid w:val="24B604CC"/>
    <w:rsid w:val="24F2100E"/>
    <w:rsid w:val="24FF8ADB"/>
    <w:rsid w:val="2522E07B"/>
    <w:rsid w:val="25336E19"/>
    <w:rsid w:val="253CAC0A"/>
    <w:rsid w:val="25412436"/>
    <w:rsid w:val="2568061B"/>
    <w:rsid w:val="25789980"/>
    <w:rsid w:val="25C0E4F2"/>
    <w:rsid w:val="25EF864E"/>
    <w:rsid w:val="26664A51"/>
    <w:rsid w:val="267DFB06"/>
    <w:rsid w:val="26918119"/>
    <w:rsid w:val="26CA1275"/>
    <w:rsid w:val="26F04227"/>
    <w:rsid w:val="271B3049"/>
    <w:rsid w:val="2727056B"/>
    <w:rsid w:val="2754AF34"/>
    <w:rsid w:val="275C30BA"/>
    <w:rsid w:val="276490C4"/>
    <w:rsid w:val="27650553"/>
    <w:rsid w:val="27840D5C"/>
    <w:rsid w:val="278FD8F1"/>
    <w:rsid w:val="2864B5CC"/>
    <w:rsid w:val="28738CF9"/>
    <w:rsid w:val="288F30F9"/>
    <w:rsid w:val="28D58BD8"/>
    <w:rsid w:val="28DFA1D2"/>
    <w:rsid w:val="29556E41"/>
    <w:rsid w:val="29683126"/>
    <w:rsid w:val="29EA6536"/>
    <w:rsid w:val="2A016AEE"/>
    <w:rsid w:val="2A03F736"/>
    <w:rsid w:val="2A1178DB"/>
    <w:rsid w:val="2AB82BAC"/>
    <w:rsid w:val="2ABCC53D"/>
    <w:rsid w:val="2AF67E84"/>
    <w:rsid w:val="2B0B287F"/>
    <w:rsid w:val="2B2DFB17"/>
    <w:rsid w:val="2B636278"/>
    <w:rsid w:val="2B9281FD"/>
    <w:rsid w:val="2BC7DBC9"/>
    <w:rsid w:val="2C1FB5FD"/>
    <w:rsid w:val="2C2B48E3"/>
    <w:rsid w:val="2C4102FF"/>
    <w:rsid w:val="2C66CF8A"/>
    <w:rsid w:val="2D19EC9D"/>
    <w:rsid w:val="2D5AE066"/>
    <w:rsid w:val="2DB2A896"/>
    <w:rsid w:val="2DB46202"/>
    <w:rsid w:val="2DC5A07B"/>
    <w:rsid w:val="2DE7A82B"/>
    <w:rsid w:val="2DEAAE0A"/>
    <w:rsid w:val="2EB67082"/>
    <w:rsid w:val="2EC6D683"/>
    <w:rsid w:val="2ECD73AB"/>
    <w:rsid w:val="2EED8530"/>
    <w:rsid w:val="2EEDD200"/>
    <w:rsid w:val="2F554105"/>
    <w:rsid w:val="2F668A90"/>
    <w:rsid w:val="2FFD18E6"/>
    <w:rsid w:val="3015401E"/>
    <w:rsid w:val="3068177C"/>
    <w:rsid w:val="30753A0A"/>
    <w:rsid w:val="3085F2A0"/>
    <w:rsid w:val="30A5A82C"/>
    <w:rsid w:val="30A67A0B"/>
    <w:rsid w:val="30DE9617"/>
    <w:rsid w:val="3102773E"/>
    <w:rsid w:val="3125AE65"/>
    <w:rsid w:val="314DDB2C"/>
    <w:rsid w:val="31A08E81"/>
    <w:rsid w:val="31D3D341"/>
    <w:rsid w:val="32D382CF"/>
    <w:rsid w:val="334489F4"/>
    <w:rsid w:val="3357FF53"/>
    <w:rsid w:val="33E0B0C2"/>
    <w:rsid w:val="341E4CBE"/>
    <w:rsid w:val="3475CACF"/>
    <w:rsid w:val="348382D1"/>
    <w:rsid w:val="34C508DF"/>
    <w:rsid w:val="34D37FFB"/>
    <w:rsid w:val="34E2539C"/>
    <w:rsid w:val="352B1883"/>
    <w:rsid w:val="359C13B9"/>
    <w:rsid w:val="359DDA01"/>
    <w:rsid w:val="35A0585D"/>
    <w:rsid w:val="35CBFF88"/>
    <w:rsid w:val="35DD40F9"/>
    <w:rsid w:val="35F228C4"/>
    <w:rsid w:val="361B6279"/>
    <w:rsid w:val="36317B77"/>
    <w:rsid w:val="3639281A"/>
    <w:rsid w:val="3666D3C3"/>
    <w:rsid w:val="36795C85"/>
    <w:rsid w:val="3679E127"/>
    <w:rsid w:val="368D0BC9"/>
    <w:rsid w:val="369C11A9"/>
    <w:rsid w:val="36DCBE67"/>
    <w:rsid w:val="36E68F48"/>
    <w:rsid w:val="37019A89"/>
    <w:rsid w:val="371A7ED7"/>
    <w:rsid w:val="374DF28E"/>
    <w:rsid w:val="37A47FD3"/>
    <w:rsid w:val="37B9D355"/>
    <w:rsid w:val="37EFB876"/>
    <w:rsid w:val="38064BA8"/>
    <w:rsid w:val="38126377"/>
    <w:rsid w:val="382F3BFE"/>
    <w:rsid w:val="38471BA4"/>
    <w:rsid w:val="384A1572"/>
    <w:rsid w:val="385658DC"/>
    <w:rsid w:val="38CC034E"/>
    <w:rsid w:val="38CFC441"/>
    <w:rsid w:val="3915A7DA"/>
    <w:rsid w:val="391FACEA"/>
    <w:rsid w:val="3937041E"/>
    <w:rsid w:val="396B44CC"/>
    <w:rsid w:val="39A38CD3"/>
    <w:rsid w:val="39CE8498"/>
    <w:rsid w:val="3A41989E"/>
    <w:rsid w:val="3A749EAB"/>
    <w:rsid w:val="3A7C2D51"/>
    <w:rsid w:val="3A9DDCCE"/>
    <w:rsid w:val="3ACCE37D"/>
    <w:rsid w:val="3B6429B8"/>
    <w:rsid w:val="3B81A2CC"/>
    <w:rsid w:val="3BB04EC3"/>
    <w:rsid w:val="3BF8F67A"/>
    <w:rsid w:val="3C23C7C6"/>
    <w:rsid w:val="3C5279C1"/>
    <w:rsid w:val="3C817B9A"/>
    <w:rsid w:val="3C92D773"/>
    <w:rsid w:val="3D7B0A6D"/>
    <w:rsid w:val="3D7CF00B"/>
    <w:rsid w:val="3DB0E6C7"/>
    <w:rsid w:val="3DBCEC63"/>
    <w:rsid w:val="3DC05D5F"/>
    <w:rsid w:val="3E0964A0"/>
    <w:rsid w:val="3F4E674B"/>
    <w:rsid w:val="3F5AC5A0"/>
    <w:rsid w:val="3F73A45D"/>
    <w:rsid w:val="3FCD3337"/>
    <w:rsid w:val="3FF986BC"/>
    <w:rsid w:val="40158EAC"/>
    <w:rsid w:val="404C97D9"/>
    <w:rsid w:val="405ADF02"/>
    <w:rsid w:val="40A3A71E"/>
    <w:rsid w:val="40F32131"/>
    <w:rsid w:val="41154790"/>
    <w:rsid w:val="415BF6C7"/>
    <w:rsid w:val="417396C5"/>
    <w:rsid w:val="41A96313"/>
    <w:rsid w:val="41AE37AF"/>
    <w:rsid w:val="41CD7C5A"/>
    <w:rsid w:val="42017363"/>
    <w:rsid w:val="4237C947"/>
    <w:rsid w:val="42380C35"/>
    <w:rsid w:val="423BF378"/>
    <w:rsid w:val="425F5D67"/>
    <w:rsid w:val="4282C353"/>
    <w:rsid w:val="42A4049C"/>
    <w:rsid w:val="42BECC40"/>
    <w:rsid w:val="42D4390F"/>
    <w:rsid w:val="43157B9B"/>
    <w:rsid w:val="43362CAA"/>
    <w:rsid w:val="436C16DD"/>
    <w:rsid w:val="43C44945"/>
    <w:rsid w:val="44166826"/>
    <w:rsid w:val="44193BF4"/>
    <w:rsid w:val="442D362B"/>
    <w:rsid w:val="443C2A02"/>
    <w:rsid w:val="443DCF79"/>
    <w:rsid w:val="44402161"/>
    <w:rsid w:val="444ADE5D"/>
    <w:rsid w:val="444F74BE"/>
    <w:rsid w:val="445C8F16"/>
    <w:rsid w:val="44685A75"/>
    <w:rsid w:val="4529CACD"/>
    <w:rsid w:val="4569A9CD"/>
    <w:rsid w:val="459BCCBD"/>
    <w:rsid w:val="460F112A"/>
    <w:rsid w:val="4631306C"/>
    <w:rsid w:val="46A338EC"/>
    <w:rsid w:val="46D1CC57"/>
    <w:rsid w:val="47327317"/>
    <w:rsid w:val="47A8F041"/>
    <w:rsid w:val="47C9FAD1"/>
    <w:rsid w:val="47F3FD63"/>
    <w:rsid w:val="47F63DEC"/>
    <w:rsid w:val="4816E3EC"/>
    <w:rsid w:val="483B812D"/>
    <w:rsid w:val="48DE167B"/>
    <w:rsid w:val="48DECA80"/>
    <w:rsid w:val="4917D8E5"/>
    <w:rsid w:val="49564162"/>
    <w:rsid w:val="49639A36"/>
    <w:rsid w:val="4972E943"/>
    <w:rsid w:val="49A570F2"/>
    <w:rsid w:val="4A02D001"/>
    <w:rsid w:val="4A59682F"/>
    <w:rsid w:val="4A8FE82D"/>
    <w:rsid w:val="4AE27279"/>
    <w:rsid w:val="4AF381BB"/>
    <w:rsid w:val="4B08B818"/>
    <w:rsid w:val="4B74A0AD"/>
    <w:rsid w:val="4B7E977B"/>
    <w:rsid w:val="4B8F6A3F"/>
    <w:rsid w:val="4B95C5F4"/>
    <w:rsid w:val="4BB51C98"/>
    <w:rsid w:val="4BD40B55"/>
    <w:rsid w:val="4C07C1D7"/>
    <w:rsid w:val="4C2B4B89"/>
    <w:rsid w:val="4C6F76E4"/>
    <w:rsid w:val="4C729F4F"/>
    <w:rsid w:val="4C9B8AC8"/>
    <w:rsid w:val="4CD73C0C"/>
    <w:rsid w:val="4CDB4590"/>
    <w:rsid w:val="4CEA6F04"/>
    <w:rsid w:val="4CFFBAA5"/>
    <w:rsid w:val="4D0A5870"/>
    <w:rsid w:val="4D84FE2A"/>
    <w:rsid w:val="4DDD39D9"/>
    <w:rsid w:val="4E0D2513"/>
    <w:rsid w:val="4E2118D1"/>
    <w:rsid w:val="4EB9EA30"/>
    <w:rsid w:val="4EC359B8"/>
    <w:rsid w:val="4EE6DD1A"/>
    <w:rsid w:val="4F12F328"/>
    <w:rsid w:val="4F14E6BD"/>
    <w:rsid w:val="4F1CA506"/>
    <w:rsid w:val="4F56152D"/>
    <w:rsid w:val="4F67A9C1"/>
    <w:rsid w:val="4F79A6CE"/>
    <w:rsid w:val="4FAF0FC8"/>
    <w:rsid w:val="4FCD6BA2"/>
    <w:rsid w:val="50130EC3"/>
    <w:rsid w:val="5033BE9A"/>
    <w:rsid w:val="506765D3"/>
    <w:rsid w:val="50DEB651"/>
    <w:rsid w:val="5197DCA6"/>
    <w:rsid w:val="51A6CFCE"/>
    <w:rsid w:val="51B87E8C"/>
    <w:rsid w:val="51EB712F"/>
    <w:rsid w:val="5204B464"/>
    <w:rsid w:val="52345A98"/>
    <w:rsid w:val="5258F6D7"/>
    <w:rsid w:val="529B7C10"/>
    <w:rsid w:val="52BE538B"/>
    <w:rsid w:val="52CD70E5"/>
    <w:rsid w:val="532295AE"/>
    <w:rsid w:val="5351106D"/>
    <w:rsid w:val="53FB8AC9"/>
    <w:rsid w:val="541E6588"/>
    <w:rsid w:val="54587B2F"/>
    <w:rsid w:val="54983FB2"/>
    <w:rsid w:val="54A1D641"/>
    <w:rsid w:val="54D02FA5"/>
    <w:rsid w:val="54F83C1C"/>
    <w:rsid w:val="5520B1BF"/>
    <w:rsid w:val="554A2520"/>
    <w:rsid w:val="556B2C67"/>
    <w:rsid w:val="55A709BD"/>
    <w:rsid w:val="55E5218D"/>
    <w:rsid w:val="55F3B6FE"/>
    <w:rsid w:val="56470F3F"/>
    <w:rsid w:val="566748E1"/>
    <w:rsid w:val="56D503F2"/>
    <w:rsid w:val="56E24AAD"/>
    <w:rsid w:val="56FEBA5E"/>
    <w:rsid w:val="57137FF7"/>
    <w:rsid w:val="573BE272"/>
    <w:rsid w:val="57717D67"/>
    <w:rsid w:val="577C89B6"/>
    <w:rsid w:val="57AD0DD1"/>
    <w:rsid w:val="586578DD"/>
    <w:rsid w:val="58767DF8"/>
    <w:rsid w:val="588DEF5B"/>
    <w:rsid w:val="58ABB318"/>
    <w:rsid w:val="58C7ACE4"/>
    <w:rsid w:val="592DC602"/>
    <w:rsid w:val="593FC21B"/>
    <w:rsid w:val="59D82943"/>
    <w:rsid w:val="59EC4873"/>
    <w:rsid w:val="5A078726"/>
    <w:rsid w:val="5A68829F"/>
    <w:rsid w:val="5ACD0377"/>
    <w:rsid w:val="5AF480BB"/>
    <w:rsid w:val="5B65FB83"/>
    <w:rsid w:val="5B685E81"/>
    <w:rsid w:val="5C0CB1CE"/>
    <w:rsid w:val="5C1F12BE"/>
    <w:rsid w:val="5C34A863"/>
    <w:rsid w:val="5C3D439D"/>
    <w:rsid w:val="5C71CA1F"/>
    <w:rsid w:val="5C8CCAEF"/>
    <w:rsid w:val="5C98EF69"/>
    <w:rsid w:val="5CD78FE7"/>
    <w:rsid w:val="5CF2297A"/>
    <w:rsid w:val="5D102585"/>
    <w:rsid w:val="5D48DD91"/>
    <w:rsid w:val="5DD258F9"/>
    <w:rsid w:val="5DEF0191"/>
    <w:rsid w:val="5E13379E"/>
    <w:rsid w:val="5E3CBB64"/>
    <w:rsid w:val="5E4330A1"/>
    <w:rsid w:val="5E5213D8"/>
    <w:rsid w:val="5E8A1E6C"/>
    <w:rsid w:val="5EB49C59"/>
    <w:rsid w:val="5EB6B47E"/>
    <w:rsid w:val="5EFD9819"/>
    <w:rsid w:val="5F2FDA4F"/>
    <w:rsid w:val="5F3B36AE"/>
    <w:rsid w:val="5F4158AA"/>
    <w:rsid w:val="5F6F8D98"/>
    <w:rsid w:val="5F7C5F73"/>
    <w:rsid w:val="5F8EFBC9"/>
    <w:rsid w:val="60255B2C"/>
    <w:rsid w:val="60CEDDD4"/>
    <w:rsid w:val="6123D12C"/>
    <w:rsid w:val="614E9438"/>
    <w:rsid w:val="616A70F2"/>
    <w:rsid w:val="61D31C4A"/>
    <w:rsid w:val="61D7AEC1"/>
    <w:rsid w:val="62345B45"/>
    <w:rsid w:val="6254FFB0"/>
    <w:rsid w:val="632FBA49"/>
    <w:rsid w:val="633CCB8E"/>
    <w:rsid w:val="63E26BC3"/>
    <w:rsid w:val="641642C5"/>
    <w:rsid w:val="641FC966"/>
    <w:rsid w:val="6515B80A"/>
    <w:rsid w:val="6568E7E5"/>
    <w:rsid w:val="65B84F5F"/>
    <w:rsid w:val="66078BBD"/>
    <w:rsid w:val="662D3F81"/>
    <w:rsid w:val="665D53D5"/>
    <w:rsid w:val="66A3A9A6"/>
    <w:rsid w:val="66BFF53D"/>
    <w:rsid w:val="66C1B823"/>
    <w:rsid w:val="671E7126"/>
    <w:rsid w:val="67404C37"/>
    <w:rsid w:val="675D2FC8"/>
    <w:rsid w:val="67A15429"/>
    <w:rsid w:val="67D17E8B"/>
    <w:rsid w:val="68714EE7"/>
    <w:rsid w:val="68AC4A57"/>
    <w:rsid w:val="68C86BD5"/>
    <w:rsid w:val="6948A207"/>
    <w:rsid w:val="69B71309"/>
    <w:rsid w:val="6A0EB657"/>
    <w:rsid w:val="6A168F3E"/>
    <w:rsid w:val="6A2930F5"/>
    <w:rsid w:val="6A88024E"/>
    <w:rsid w:val="6A9C9EBA"/>
    <w:rsid w:val="6AF37722"/>
    <w:rsid w:val="6AF52695"/>
    <w:rsid w:val="6B60C852"/>
    <w:rsid w:val="6C983794"/>
    <w:rsid w:val="6D00FD86"/>
    <w:rsid w:val="6D536A12"/>
    <w:rsid w:val="6D7B4119"/>
    <w:rsid w:val="6DBC07AF"/>
    <w:rsid w:val="6DCD1093"/>
    <w:rsid w:val="6E0B4C6D"/>
    <w:rsid w:val="6E170851"/>
    <w:rsid w:val="6E17565E"/>
    <w:rsid w:val="6E52D0EB"/>
    <w:rsid w:val="6E62A332"/>
    <w:rsid w:val="6E96B30E"/>
    <w:rsid w:val="6F48E3AD"/>
    <w:rsid w:val="6FB50AED"/>
    <w:rsid w:val="6FB57F31"/>
    <w:rsid w:val="6FEBC579"/>
    <w:rsid w:val="70092023"/>
    <w:rsid w:val="702D7514"/>
    <w:rsid w:val="70D9DB57"/>
    <w:rsid w:val="7138CDD2"/>
    <w:rsid w:val="713FCFB4"/>
    <w:rsid w:val="71ACC43A"/>
    <w:rsid w:val="71FA8EA2"/>
    <w:rsid w:val="7200653B"/>
    <w:rsid w:val="72030743"/>
    <w:rsid w:val="721B6FC6"/>
    <w:rsid w:val="7245281E"/>
    <w:rsid w:val="72A37A7D"/>
    <w:rsid w:val="730E6AFB"/>
    <w:rsid w:val="737804C6"/>
    <w:rsid w:val="73F7675B"/>
    <w:rsid w:val="74216A40"/>
    <w:rsid w:val="7426F5D3"/>
    <w:rsid w:val="743A21C0"/>
    <w:rsid w:val="745A2E15"/>
    <w:rsid w:val="748A18E7"/>
    <w:rsid w:val="74A61ED1"/>
    <w:rsid w:val="74B3B9D5"/>
    <w:rsid w:val="75134C9B"/>
    <w:rsid w:val="7567B0D6"/>
    <w:rsid w:val="756B1717"/>
    <w:rsid w:val="75DD318C"/>
    <w:rsid w:val="75F3BBA5"/>
    <w:rsid w:val="766B1F4F"/>
    <w:rsid w:val="76A7D58D"/>
    <w:rsid w:val="76B11FAD"/>
    <w:rsid w:val="77331B50"/>
    <w:rsid w:val="777AED18"/>
    <w:rsid w:val="77840BDA"/>
    <w:rsid w:val="77ADB5FF"/>
    <w:rsid w:val="77D3699D"/>
    <w:rsid w:val="782A9DAD"/>
    <w:rsid w:val="78385922"/>
    <w:rsid w:val="783FE51B"/>
    <w:rsid w:val="784143E9"/>
    <w:rsid w:val="785ED437"/>
    <w:rsid w:val="786EAC6E"/>
    <w:rsid w:val="78B119A3"/>
    <w:rsid w:val="78D7A794"/>
    <w:rsid w:val="78DB8542"/>
    <w:rsid w:val="78F46C89"/>
    <w:rsid w:val="79714712"/>
    <w:rsid w:val="798EEC00"/>
    <w:rsid w:val="79AC9DCF"/>
    <w:rsid w:val="79ADF67E"/>
    <w:rsid w:val="7A0FA515"/>
    <w:rsid w:val="7AA7954E"/>
    <w:rsid w:val="7B620154"/>
    <w:rsid w:val="7B726F9A"/>
    <w:rsid w:val="7B9051C3"/>
    <w:rsid w:val="7B935AAF"/>
    <w:rsid w:val="7BE42B79"/>
    <w:rsid w:val="7BF9CA76"/>
    <w:rsid w:val="7C23CFDC"/>
    <w:rsid w:val="7C3A4B9C"/>
    <w:rsid w:val="7C6C301D"/>
    <w:rsid w:val="7C78FCB6"/>
    <w:rsid w:val="7CA30447"/>
    <w:rsid w:val="7CBC5B89"/>
    <w:rsid w:val="7CE3CE66"/>
    <w:rsid w:val="7D137428"/>
    <w:rsid w:val="7D13B93C"/>
    <w:rsid w:val="7D1C7F8E"/>
    <w:rsid w:val="7D4A8F78"/>
    <w:rsid w:val="7D9AE1E9"/>
    <w:rsid w:val="7DE75ACB"/>
    <w:rsid w:val="7E0669DE"/>
    <w:rsid w:val="7E1E1529"/>
    <w:rsid w:val="7E3959E6"/>
    <w:rsid w:val="7E45BF73"/>
    <w:rsid w:val="7E6B26E2"/>
    <w:rsid w:val="7E816AEF"/>
    <w:rsid w:val="7EB96EB6"/>
    <w:rsid w:val="7EDF7777"/>
    <w:rsid w:val="7F009F5C"/>
    <w:rsid w:val="7F54E3F3"/>
    <w:rsid w:val="7FB7EA74"/>
    <w:rsid w:val="7FD832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258F"/>
  <w15:chartTrackingRefBased/>
  <w15:docId w15:val="{6E54EEC7-8502-4B88-A9A3-6043A2B5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85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85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8531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8531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8531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8531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8531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8531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8531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8531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8531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8531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8531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8531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8531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8531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8531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8531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85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8531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8531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8531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8531E"/>
    <w:pPr>
      <w:spacing w:before="160"/>
      <w:jc w:val="center"/>
    </w:pPr>
    <w:rPr>
      <w:i/>
      <w:iCs/>
      <w:color w:val="404040" w:themeColor="text1" w:themeTint="BF"/>
    </w:rPr>
  </w:style>
  <w:style w:type="character" w:customStyle="1" w:styleId="TsitaatMrk">
    <w:name w:val="Tsitaat Märk"/>
    <w:basedOn w:val="Liguvaikefont"/>
    <w:link w:val="Tsitaat"/>
    <w:uiPriority w:val="29"/>
    <w:rsid w:val="0008531E"/>
    <w:rPr>
      <w:i/>
      <w:iCs/>
      <w:color w:val="404040" w:themeColor="text1" w:themeTint="BF"/>
    </w:rPr>
  </w:style>
  <w:style w:type="paragraph" w:styleId="Loendilik">
    <w:name w:val="List Paragraph"/>
    <w:basedOn w:val="Normaallaad"/>
    <w:uiPriority w:val="34"/>
    <w:qFormat/>
    <w:rsid w:val="0008531E"/>
    <w:pPr>
      <w:ind w:left="720"/>
      <w:contextualSpacing/>
    </w:pPr>
  </w:style>
  <w:style w:type="character" w:styleId="Selgeltmrgatavrhutus">
    <w:name w:val="Intense Emphasis"/>
    <w:basedOn w:val="Liguvaikefont"/>
    <w:uiPriority w:val="21"/>
    <w:qFormat/>
    <w:rsid w:val="0008531E"/>
    <w:rPr>
      <w:i/>
      <w:iCs/>
      <w:color w:val="0F4761" w:themeColor="accent1" w:themeShade="BF"/>
    </w:rPr>
  </w:style>
  <w:style w:type="paragraph" w:styleId="Selgeltmrgatavtsitaat">
    <w:name w:val="Intense Quote"/>
    <w:basedOn w:val="Normaallaad"/>
    <w:next w:val="Normaallaad"/>
    <w:link w:val="SelgeltmrgatavtsitaatMrk"/>
    <w:uiPriority w:val="30"/>
    <w:qFormat/>
    <w:rsid w:val="00085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8531E"/>
    <w:rPr>
      <w:i/>
      <w:iCs/>
      <w:color w:val="0F4761" w:themeColor="accent1" w:themeShade="BF"/>
    </w:rPr>
  </w:style>
  <w:style w:type="character" w:styleId="Selgeltmrgatavviide">
    <w:name w:val="Intense Reference"/>
    <w:basedOn w:val="Liguvaikefont"/>
    <w:uiPriority w:val="32"/>
    <w:qFormat/>
    <w:rsid w:val="0008531E"/>
    <w:rPr>
      <w:b/>
      <w:bCs/>
      <w:smallCaps/>
      <w:color w:val="0F4761" w:themeColor="accent1" w:themeShade="BF"/>
      <w:spacing w:val="5"/>
    </w:rPr>
  </w:style>
  <w:style w:type="table" w:styleId="Kontuurtabel">
    <w:name w:val="Table Grid"/>
    <w:basedOn w:val="Normaaltabel"/>
    <w:uiPriority w:val="39"/>
    <w:rsid w:val="0008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D36DAA"/>
    <w:pPr>
      <w:spacing w:after="0" w:line="240" w:lineRule="auto"/>
    </w:pPr>
  </w:style>
  <w:style w:type="character" w:styleId="Kommentaariviide">
    <w:name w:val="annotation reference"/>
    <w:basedOn w:val="Liguvaikefont"/>
    <w:uiPriority w:val="99"/>
    <w:semiHidden/>
    <w:unhideWhenUsed/>
    <w:rsid w:val="00523D3A"/>
    <w:rPr>
      <w:sz w:val="16"/>
      <w:szCs w:val="16"/>
    </w:rPr>
  </w:style>
  <w:style w:type="paragraph" w:styleId="Kommentaaritekst">
    <w:name w:val="annotation text"/>
    <w:basedOn w:val="Normaallaad"/>
    <w:link w:val="KommentaaritekstMrk"/>
    <w:uiPriority w:val="99"/>
    <w:unhideWhenUsed/>
    <w:rsid w:val="00523D3A"/>
    <w:pPr>
      <w:spacing w:line="240" w:lineRule="auto"/>
    </w:pPr>
    <w:rPr>
      <w:sz w:val="20"/>
      <w:szCs w:val="20"/>
    </w:rPr>
  </w:style>
  <w:style w:type="character" w:customStyle="1" w:styleId="KommentaaritekstMrk">
    <w:name w:val="Kommentaari tekst Märk"/>
    <w:basedOn w:val="Liguvaikefont"/>
    <w:link w:val="Kommentaaritekst"/>
    <w:uiPriority w:val="99"/>
    <w:rsid w:val="00523D3A"/>
    <w:rPr>
      <w:sz w:val="20"/>
      <w:szCs w:val="20"/>
    </w:rPr>
  </w:style>
  <w:style w:type="paragraph" w:styleId="Kommentaariteema">
    <w:name w:val="annotation subject"/>
    <w:basedOn w:val="Kommentaaritekst"/>
    <w:next w:val="Kommentaaritekst"/>
    <w:link w:val="KommentaariteemaMrk"/>
    <w:uiPriority w:val="99"/>
    <w:semiHidden/>
    <w:unhideWhenUsed/>
    <w:rsid w:val="00523D3A"/>
    <w:rPr>
      <w:b/>
      <w:bCs/>
    </w:rPr>
  </w:style>
  <w:style w:type="character" w:customStyle="1" w:styleId="KommentaariteemaMrk">
    <w:name w:val="Kommentaari teema Märk"/>
    <w:basedOn w:val="KommentaaritekstMrk"/>
    <w:link w:val="Kommentaariteema"/>
    <w:uiPriority w:val="99"/>
    <w:semiHidden/>
    <w:rsid w:val="00523D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ce3f51e1-bba9-40da-a5ca-46a5496fa2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CFD53691CF2746B1B5341B3DEC1AFB" ma:contentTypeVersion="9" ma:contentTypeDescription="Create a new document." ma:contentTypeScope="" ma:versionID="41ea05e0caedf1ea5e1d9847c9ab5146">
  <xsd:schema xmlns:xsd="http://www.w3.org/2001/XMLSchema" xmlns:xs="http://www.w3.org/2001/XMLSchema" xmlns:p="http://schemas.microsoft.com/office/2006/metadata/properties" xmlns:ns2="ce3f51e1-bba9-40da-a5ca-46a5496fa266" xmlns:ns3="08adef74-251f-42fc-9024-6df5c4e3f36b" targetNamespace="http://schemas.microsoft.com/office/2006/metadata/properties" ma:root="true" ma:fieldsID="30ef7f769278f059af97f0a9c5e892cf" ns2:_="" ns3:_="">
    <xsd:import namespace="ce3f51e1-bba9-40da-a5ca-46a5496fa266"/>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f51e1-bba9-40da-a5ca-46a5496fa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8F024-C2D2-4042-BF10-3172A392FD84}">
  <ds:schemaRefs>
    <ds:schemaRef ds:uri="http://schemas.microsoft.com/office/2006/metadata/properties"/>
    <ds:schemaRef ds:uri="http://schemas.microsoft.com/office/infopath/2007/PartnerControls"/>
    <ds:schemaRef ds:uri="08adef74-251f-42fc-9024-6df5c4e3f36b"/>
    <ds:schemaRef ds:uri="ce3f51e1-bba9-40da-a5ca-46a5496fa266"/>
  </ds:schemaRefs>
</ds:datastoreItem>
</file>

<file path=customXml/itemProps2.xml><?xml version="1.0" encoding="utf-8"?>
<ds:datastoreItem xmlns:ds="http://schemas.openxmlformats.org/officeDocument/2006/customXml" ds:itemID="{FCA1F8AC-5FD2-433B-AA2B-7CA17D264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f51e1-bba9-40da-a5ca-46a5496fa266"/>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8EA52-9F6B-4E72-B5E3-BDC812088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3322</Words>
  <Characters>25879</Characters>
  <Application>Microsoft Office Word</Application>
  <DocSecurity>0</DocSecurity>
  <Lines>470</Lines>
  <Paragraphs>106</Paragraphs>
  <ScaleCrop>false</ScaleCrop>
  <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Müürsepp - SOM</dc:creator>
  <cp:keywords/>
  <dc:description/>
  <cp:lastModifiedBy>Elina Müürsepp - SOM</cp:lastModifiedBy>
  <cp:revision>4</cp:revision>
  <dcterms:created xsi:type="dcterms:W3CDTF">2026-06-22T11:49:00Z</dcterms:created>
  <dcterms:modified xsi:type="dcterms:W3CDTF">2026-06-29T06:12:00Z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0x01010084CFD53691CF2746B1B5341B3DEC1AFB</vt:lpwstr>
  </property>
  <property fmtid="{D5CDD505-2E9C-101B-9397-08002B2CF9AE}" pid="3" name="MSIP_Label_defa4170-0d19-0005-0004-bc88714345d2_Enabled">
    <vt:lpwstr>true</vt:lpwstr>
  </property>
  <property fmtid="{D5CDD505-2E9C-101B-9397-08002B2CF9AE}" pid="4" name="MSIP_Label_defa4170-0d19-0005-0004-bc88714345d2_SetDate">
    <vt:lpwstr>2026-01-27T08:17:58Z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9fc058c6-c3ee-4ea7-99bb-abb9d65dbb29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